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bookmarkStart w:id="0" w:name="_GoBack"/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Załącznik nr. 1</w:t>
      </w:r>
    </w:p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do Zarządzenia Wójta Gminy Wiązownica</w:t>
      </w:r>
    </w:p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Nr12/2022 z dnia 27</w:t>
      </w: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.stycznia 2022r.</w:t>
      </w:r>
    </w:p>
    <w:bookmarkEnd w:id="0"/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:rsidR="00B242C8" w:rsidRPr="00A452AA" w:rsidRDefault="00B242C8" w:rsidP="00B242C8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A452AA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……………….</w:t>
      </w:r>
    </w:p>
    <w:p w:rsidR="00B242C8" w:rsidRPr="00A452AA" w:rsidRDefault="00B242C8" w:rsidP="00B242C8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zawarta ……………… w ………………….. pomiędzy: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reprezentowaną przez: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………………… - Wójta Gminy Wiązownica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Pani …………………… - Skarbnika Gminy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 o sporcie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(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Dz. U. poz.1133 z 2020 r.) dotacji w wysokości </w:t>
      </w:r>
      <w:r w:rsidRPr="00A452AA">
        <w:rPr>
          <w:rFonts w:ascii="Times New Roman" w:eastAsia="Calibri" w:hAnsi="Times New Roman" w:cs="Times New Roman"/>
          <w:kern w:val="2"/>
          <w:lang w:eastAsia="pl-PL"/>
        </w:rPr>
        <w:t>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(słownie:…………….. złotych) na dofinansowanie zadania na wsparcie rozwoju sportu, pod nazwą: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,, Rozwój sportu w Gminie Wiązownica poprzez wspieranie szkolenia oraz udziału zawodników reprezentujących Gminę w rozgrywkach sportowych w miejscowości ……………”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dniu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stanowiącym</w:t>
      </w:r>
      <w:r w:rsidRPr="00A452AA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wysokości:  ………………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……………………..)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………………….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 złotych) zostaną przekazane na rachunek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………………………………………...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 transza w terminie do dnia 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 transza w terminie do dnia …………………………………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III transza w terminie do dnia …………………………………..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IV transza w terminie do dnia ……………………………………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br/>
        <w:t>§ 3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…………….. 30 listopada …………….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r.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wniosku o dotację w wysokości do 25% istniejącej pozycji kosztorysowej 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 Dz.U.2019.391 ze zm.), w sposób umożliwiający identyfikację poszczególnych operacji księgowych.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Dokumenty finansowe  dotyczące  wydatków pokrytych z uzyskanej dotacji w ramach realizacji zadania 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powinne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być opisane: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>Dotyczy realizacji zadania ,, Rozwój Sportu w Gminie Wiązownica poprzez wspieranie szkolenia oraz udziału zawodników reprezentujących Gminę w rozgrywkach sportowych w miejscowości ………………. zgodnie z  zawartą umową nr ............. z dnia…….. dotyczy zakupu towaru/usługi…………………………</w:t>
      </w:r>
    </w:p>
    <w:p w:rsidR="00B242C8" w:rsidRPr="00A452AA" w:rsidRDefault="00B242C8" w:rsidP="00B242C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Prawo kontroli przysługuje upoważnionym pracownikom Urzędu Gminy ……………… zarówno w siedzibie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>Rady Gminy nr XXXVII/287/2021 z dnia 15 listopada 2021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r.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:rsidR="00B242C8" w:rsidRPr="00A452AA" w:rsidRDefault="00B242C8" w:rsidP="00B24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:rsidR="00B242C8" w:rsidRPr="00A452AA" w:rsidRDefault="00B242C8" w:rsidP="00B24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nr ………………………………………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7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:rsidR="00B242C8" w:rsidRPr="00A452AA" w:rsidRDefault="00B242C8" w:rsidP="00B242C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:rsidR="00B242C8" w:rsidRPr="00A452AA" w:rsidRDefault="00B242C8" w:rsidP="00B242C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:rsidR="00B242C8" w:rsidRPr="00A452AA" w:rsidRDefault="00B242C8" w:rsidP="00B242C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:rsidR="00B242C8" w:rsidRPr="00A452AA" w:rsidRDefault="00B242C8" w:rsidP="00B242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:rsidR="00B242C8" w:rsidRPr="00A452AA" w:rsidRDefault="00B242C8" w:rsidP="00B242C8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:rsidR="00B242C8" w:rsidRPr="00A452AA" w:rsidRDefault="00B242C8" w:rsidP="00B242C8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zakresie nieuregulowanym umową stosuje się przepisy ustawy z dnia 23 kwietnia 1964 r. – Kodeks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cywilny( Dz.U. poz.1740 z 2020r.),ustawy z dnia 27 sierpnia 2009 r. o finansach publicznych (tj. Dz. U.2019.poz. 869) oraz uchwały</w:t>
      </w:r>
      <w:r w:rsidRPr="00A452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452AA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:rsidR="00B242C8" w:rsidRPr="00A452AA" w:rsidRDefault="00B242C8" w:rsidP="00B242C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                                             ………………………………………….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:rsidR="00B242C8" w:rsidRPr="00A452AA" w:rsidRDefault="00B242C8" w:rsidP="00B242C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3D2845" w:rsidRDefault="003D2845"/>
    <w:sectPr w:rsidR="003D2845" w:rsidSect="00BB40AD">
      <w:pgSz w:w="11907" w:h="16839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8"/>
    <w:rsid w:val="00124279"/>
    <w:rsid w:val="003D2845"/>
    <w:rsid w:val="00A5625E"/>
    <w:rsid w:val="00B242C8"/>
    <w:rsid w:val="00B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F62B-302D-4FBA-A7FB-3C80940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C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1</cp:revision>
  <dcterms:created xsi:type="dcterms:W3CDTF">2022-01-27T14:02:00Z</dcterms:created>
  <dcterms:modified xsi:type="dcterms:W3CDTF">2022-01-27T14:02:00Z</dcterms:modified>
</cp:coreProperties>
</file>