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200DD7">
        <w:rPr>
          <w:rFonts w:eastAsia="Times New Roman" w:cs="Times New Roman"/>
          <w:sz w:val="22"/>
          <w:szCs w:val="22"/>
          <w:lang w:eastAsia="ar-SA"/>
        </w:rPr>
        <w:t>ówień publicznych (Dz.U. z 2019 r. poz. 1843</w:t>
      </w:r>
      <w:r w:rsidR="00174004">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200DD7" w:rsidRDefault="00F643A7" w:rsidP="00BF2C98">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E876D2">
        <w:rPr>
          <w:rFonts w:eastAsia="Times New Roman" w:cs="Times New Roman"/>
          <w:b/>
          <w:smallCaps/>
          <w:sz w:val="24"/>
          <w:szCs w:val="24"/>
        </w:rPr>
        <w:t>Rozbudowa  sieci wodociągowej w miejscowości Wiązownica”</w:t>
      </w:r>
      <w:r w:rsidR="00200DD7">
        <w:rPr>
          <w:rFonts w:eastAsia="Times New Roman" w:cs="Times New Roman"/>
          <w:b/>
          <w:smallCaps/>
          <w:sz w:val="24"/>
          <w:szCs w:val="24"/>
        </w:rPr>
        <w:t xml:space="preserve"> </w:t>
      </w:r>
    </w:p>
    <w:p w:rsidR="00F643A7" w:rsidRPr="00CE39A2" w:rsidRDefault="00F643A7" w:rsidP="00BF2C98">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E876D2" w:rsidRDefault="00E876D2" w:rsidP="00F643A7">
      <w:pPr>
        <w:suppressAutoHyphens/>
        <w:spacing w:after="120" w:line="288" w:lineRule="auto"/>
        <w:contextualSpacing/>
        <w:jc w:val="center"/>
        <w:rPr>
          <w:rFonts w:eastAsia="Times New Roman" w:cs="Times New Roman"/>
          <w:b/>
          <w:sz w:val="22"/>
          <w:szCs w:val="22"/>
          <w:lang w:eastAsia="ar-SA"/>
        </w:rPr>
      </w:pPr>
    </w:p>
    <w:p w:rsidR="00E876D2" w:rsidRDefault="00E876D2" w:rsidP="00F643A7">
      <w:pPr>
        <w:suppressAutoHyphens/>
        <w:spacing w:after="120" w:line="288" w:lineRule="auto"/>
        <w:contextualSpacing/>
        <w:jc w:val="center"/>
        <w:rPr>
          <w:rFonts w:eastAsia="Times New Roman" w:cs="Times New Roman"/>
          <w:b/>
          <w:sz w:val="22"/>
          <w:szCs w:val="22"/>
          <w:lang w:eastAsia="ar-SA"/>
        </w:rPr>
      </w:pPr>
    </w:p>
    <w:p w:rsidR="00E876D2" w:rsidRDefault="00E876D2" w:rsidP="00F643A7">
      <w:pPr>
        <w:suppressAutoHyphens/>
        <w:spacing w:after="120" w:line="288" w:lineRule="auto"/>
        <w:contextualSpacing/>
        <w:jc w:val="center"/>
        <w:rPr>
          <w:rFonts w:eastAsia="Times New Roman" w:cs="Times New Roman"/>
          <w:b/>
          <w:sz w:val="22"/>
          <w:szCs w:val="22"/>
          <w:lang w:eastAsia="ar-SA"/>
        </w:rPr>
      </w:pPr>
    </w:p>
    <w:p w:rsidR="00E876D2" w:rsidRDefault="00E876D2" w:rsidP="00F643A7">
      <w:pPr>
        <w:suppressAutoHyphens/>
        <w:spacing w:after="120" w:line="288" w:lineRule="auto"/>
        <w:contextualSpacing/>
        <w:jc w:val="center"/>
        <w:rPr>
          <w:rFonts w:eastAsia="Times New Roman" w:cs="Times New Roman"/>
          <w:b/>
          <w:sz w:val="22"/>
          <w:szCs w:val="22"/>
          <w:lang w:eastAsia="ar-SA"/>
        </w:rPr>
      </w:pPr>
    </w:p>
    <w:p w:rsidR="00E876D2" w:rsidRDefault="00E876D2"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A48AC">
        <w:rPr>
          <w:rFonts w:eastAsia="Times New Roman" w:cs="Times New Roman"/>
          <w:sz w:val="22"/>
          <w:szCs w:val="22"/>
          <w:lang w:eastAsia="ar-SA"/>
        </w:rPr>
        <w:t>14.09</w:t>
      </w:r>
      <w:r w:rsidR="007F56A5" w:rsidRPr="00992F95">
        <w:rPr>
          <w:rFonts w:eastAsia="Times New Roman" w:cs="Times New Roman"/>
          <w:sz w:val="22"/>
          <w:szCs w:val="22"/>
          <w:lang w:eastAsia="ar-SA"/>
        </w:rPr>
        <w:t>.</w:t>
      </w:r>
      <w:r w:rsidR="00174004">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E876D2" w:rsidRDefault="00E876D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E876D2" w:rsidRDefault="00E876D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E876D2">
        <w:rPr>
          <w:b/>
          <w:spacing w:val="1"/>
          <w:sz w:val="22"/>
          <w:szCs w:val="22"/>
          <w:lang w:eastAsia="ar-SA"/>
        </w:rPr>
        <w:t>.10</w:t>
      </w:r>
      <w:r w:rsidR="00F15E59">
        <w:rPr>
          <w:b/>
          <w:spacing w:val="1"/>
          <w:sz w:val="22"/>
          <w:szCs w:val="22"/>
          <w:lang w:eastAsia="ar-SA"/>
        </w:rPr>
        <w:t>.</w:t>
      </w:r>
      <w:r w:rsidR="009D09F0">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D09F0">
        <w:rPr>
          <w:rFonts w:ascii="CG Omega" w:hAnsi="CG Omega"/>
          <w:b w:val="0"/>
          <w:sz w:val="22"/>
          <w:szCs w:val="22"/>
        </w:rPr>
        <w:t>ówień publicznych</w:t>
      </w:r>
      <w:r w:rsidR="001E4E4E">
        <w:rPr>
          <w:rFonts w:ascii="CG Omega" w:hAnsi="CG Omega"/>
          <w:b w:val="0"/>
          <w:sz w:val="22"/>
          <w:szCs w:val="22"/>
        </w:rPr>
        <w:t xml:space="preserve"> (</w:t>
      </w:r>
      <w:r w:rsidR="009D09F0">
        <w:rPr>
          <w:rFonts w:ascii="CG Omega" w:hAnsi="CG Omega"/>
          <w:b w:val="0"/>
          <w:sz w:val="22"/>
          <w:szCs w:val="22"/>
        </w:rPr>
        <w:t>t.j. Dz.U. z 2019 r. poz. 1843</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9D09F0" w:rsidRPr="00EE2CFE" w:rsidRDefault="005355F3" w:rsidP="00EE2CFE">
      <w:pPr>
        <w:pStyle w:val="Akapitzlist"/>
        <w:numPr>
          <w:ilvl w:val="1"/>
          <w:numId w:val="7"/>
        </w:numPr>
        <w:ind w:left="567" w:hanging="567"/>
        <w:jc w:val="both"/>
        <w:rPr>
          <w:rFonts w:ascii="CG Omega" w:hAnsi="CG Omega"/>
          <w:sz w:val="22"/>
          <w:szCs w:val="22"/>
        </w:rPr>
      </w:pPr>
      <w:r w:rsidRPr="00371A1A">
        <w:rPr>
          <w:rFonts w:ascii="CG Omega" w:hAnsi="CG Omega"/>
          <w:b w:val="0"/>
          <w:sz w:val="22"/>
          <w:szCs w:val="22"/>
        </w:rPr>
        <w:t>Przedmiotem postępowania jest udzielenie zamówienia</w:t>
      </w:r>
      <w:r w:rsidR="001E4E4E">
        <w:rPr>
          <w:rFonts w:ascii="CG Omega" w:hAnsi="CG Omega"/>
          <w:b w:val="0"/>
          <w:sz w:val="22"/>
          <w:szCs w:val="22"/>
        </w:rPr>
        <w:t xml:space="preserve"> na </w:t>
      </w:r>
      <w:r w:rsidR="00E876D2">
        <w:rPr>
          <w:rFonts w:ascii="CG Omega" w:hAnsi="CG Omega"/>
          <w:sz w:val="22"/>
          <w:szCs w:val="22"/>
        </w:rPr>
        <w:t>rozbudowę sieci wodociągowej w miejscowości Wiązownica</w:t>
      </w:r>
      <w:r w:rsidR="009D09F0" w:rsidRPr="009D09F0">
        <w:rPr>
          <w:rFonts w:ascii="CG Omega" w:hAnsi="CG Omega"/>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rodzajów dokumentów, jakich może żądać zamawiający od wykonawcy w postępowaniu o udzielenie zamówienia (Dz. U. z 2016 r. poz. 1126 ze zm.).</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protokołu postępowania o udzielenie zamówienia publicznego (Dz. U. z 2016 r., poz. 1128).</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Ustawa z dnia 23 kwietnia 1964 r. - Kodeks cywilny (t.j. Dz. U. z 2019 r, poz. 1145 ze zm.).</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lastRenderedPageBreak/>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w:t>
      </w:r>
      <w:r w:rsidR="00725EA8">
        <w:rPr>
          <w:sz w:val="22"/>
          <w:szCs w:val="22"/>
        </w:rPr>
        <w:t xml:space="preserve"> podziału zamówienia na części</w:t>
      </w:r>
      <w:r w:rsidR="00BF6AEE" w:rsidRPr="00CE39A2">
        <w:rPr>
          <w:sz w:val="22"/>
          <w:szCs w:val="22"/>
        </w:rPr>
        <w:t xml:space="preserve"> </w:t>
      </w:r>
      <w:r w:rsidR="00725EA8">
        <w:rPr>
          <w:sz w:val="22"/>
          <w:szCs w:val="22"/>
        </w:rPr>
        <w:t>i</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725EA8">
        <w:rPr>
          <w:rFonts w:cs="Tahoma"/>
          <w:sz w:val="22"/>
          <w:szCs w:val="22"/>
        </w:rPr>
        <w:t>e  wykonawca musi</w:t>
      </w:r>
      <w:r w:rsidR="0063031F">
        <w:rPr>
          <w:rFonts w:cs="Tahoma"/>
          <w:sz w:val="22"/>
          <w:szCs w:val="22"/>
        </w:rPr>
        <w:t xml:space="preserv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AF0B90">
        <w:rPr>
          <w:sz w:val="22"/>
          <w:szCs w:val="22"/>
        </w:rPr>
        <w:t xml:space="preserve"> 584575</w:t>
      </w:r>
      <w:bookmarkStart w:id="0" w:name="_GoBack"/>
      <w:bookmarkEnd w:id="0"/>
      <w:r w:rsidR="00A345CA">
        <w:rPr>
          <w:sz w:val="22"/>
          <w:szCs w:val="22"/>
        </w:rPr>
        <w:t>-N-2020</w:t>
      </w:r>
      <w:r w:rsidR="005B3F02" w:rsidRPr="00426D11">
        <w:rPr>
          <w:sz w:val="22"/>
          <w:szCs w:val="22"/>
        </w:rPr>
        <w:t xml:space="preserve"> </w:t>
      </w:r>
      <w:r w:rsidR="009A48AC">
        <w:rPr>
          <w:sz w:val="22"/>
          <w:szCs w:val="22"/>
        </w:rPr>
        <w:t>z dnia 14.09.2020</w:t>
      </w:r>
      <w:r w:rsidR="00A345CA">
        <w:rPr>
          <w:sz w:val="22"/>
          <w:szCs w:val="22"/>
        </w:rPr>
        <w:t xml:space="preserve"> </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216E86" w:rsidRPr="00DA3073" w:rsidRDefault="00216E86"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D95E98" w:rsidRDefault="00727604" w:rsidP="00BE4EB3">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BE4EB3" w:rsidRPr="00BE4EB3" w:rsidRDefault="00BE4EB3" w:rsidP="009A48AC">
      <w:pPr>
        <w:suppressAutoHyphens/>
        <w:spacing w:line="240" w:lineRule="auto"/>
        <w:contextualSpacing/>
        <w:jc w:val="center"/>
        <w:rPr>
          <w:rFonts w:eastAsia="Times New Roman" w:cs="Times New Roman"/>
          <w:b/>
          <w:smallCaps/>
          <w:sz w:val="24"/>
          <w:szCs w:val="24"/>
          <w:lang w:eastAsia="ar-SA"/>
        </w:rPr>
      </w:pPr>
    </w:p>
    <w:p w:rsidR="00EE2CFE" w:rsidRPr="00EE2CFE" w:rsidRDefault="00740478" w:rsidP="009A48AC">
      <w:pPr>
        <w:spacing w:line="240" w:lineRule="auto"/>
        <w:ind w:left="567" w:hanging="567"/>
        <w:jc w:val="both"/>
        <w:rPr>
          <w:sz w:val="22"/>
          <w:szCs w:val="22"/>
        </w:rPr>
      </w:pPr>
      <w:r w:rsidRPr="00EE2CFE">
        <w:rPr>
          <w:spacing w:val="1"/>
          <w:sz w:val="22"/>
          <w:szCs w:val="22"/>
        </w:rPr>
        <w:t>2.1</w:t>
      </w:r>
      <w:r w:rsidR="009178CC" w:rsidRPr="00EE2CFE">
        <w:rPr>
          <w:spacing w:val="1"/>
          <w:sz w:val="22"/>
          <w:szCs w:val="22"/>
        </w:rPr>
        <w:t xml:space="preserve"> </w:t>
      </w:r>
      <w:r w:rsidRPr="00EE2CFE">
        <w:rPr>
          <w:spacing w:val="1"/>
          <w:sz w:val="22"/>
          <w:szCs w:val="22"/>
        </w:rPr>
        <w:tab/>
      </w:r>
      <w:r w:rsidR="00443D81" w:rsidRPr="00EE2CFE">
        <w:rPr>
          <w:spacing w:val="1"/>
          <w:sz w:val="22"/>
          <w:szCs w:val="22"/>
        </w:rPr>
        <w:t>Przedmiotem zamówi</w:t>
      </w:r>
      <w:r w:rsidR="00871978" w:rsidRPr="00EE2CFE">
        <w:rPr>
          <w:spacing w:val="1"/>
          <w:sz w:val="22"/>
          <w:szCs w:val="22"/>
        </w:rPr>
        <w:t xml:space="preserve">enia jest </w:t>
      </w:r>
      <w:r w:rsidR="0059078A">
        <w:rPr>
          <w:spacing w:val="1"/>
          <w:sz w:val="22"/>
          <w:szCs w:val="22"/>
        </w:rPr>
        <w:t>roz</w:t>
      </w:r>
      <w:r w:rsidR="00CE39A2" w:rsidRPr="00EE2CFE">
        <w:rPr>
          <w:spacing w:val="1"/>
          <w:sz w:val="22"/>
          <w:szCs w:val="22"/>
        </w:rPr>
        <w:t xml:space="preserve">budowa </w:t>
      </w:r>
      <w:r w:rsidR="0059078A">
        <w:rPr>
          <w:spacing w:val="1"/>
          <w:sz w:val="22"/>
          <w:szCs w:val="22"/>
        </w:rPr>
        <w:t>sieci wodociągowej wraz z niezbędną armaturą i hydrantami</w:t>
      </w:r>
      <w:r w:rsidR="00CB5BD8">
        <w:rPr>
          <w:sz w:val="22"/>
          <w:szCs w:val="22"/>
        </w:rPr>
        <w:t>,</w:t>
      </w:r>
      <w:r w:rsidR="00175122">
        <w:rPr>
          <w:sz w:val="22"/>
          <w:szCs w:val="22"/>
        </w:rPr>
        <w:t xml:space="preserve">  na potrzeby  nowo powstającej </w:t>
      </w:r>
      <w:r w:rsidR="0059078A">
        <w:rPr>
          <w:sz w:val="22"/>
          <w:szCs w:val="22"/>
        </w:rPr>
        <w:t xml:space="preserve"> </w:t>
      </w:r>
      <w:r w:rsidR="00175122">
        <w:rPr>
          <w:sz w:val="22"/>
          <w:szCs w:val="22"/>
        </w:rPr>
        <w:t xml:space="preserve">zabudowy mieszkaniowej,  przebiegającej   po działkach nr </w:t>
      </w:r>
      <w:proofErr w:type="spellStart"/>
      <w:r w:rsidR="00175122">
        <w:rPr>
          <w:sz w:val="22"/>
          <w:szCs w:val="22"/>
        </w:rPr>
        <w:t>ewid</w:t>
      </w:r>
      <w:proofErr w:type="spellEnd"/>
      <w:r w:rsidR="00175122">
        <w:rPr>
          <w:sz w:val="22"/>
          <w:szCs w:val="22"/>
        </w:rPr>
        <w:t xml:space="preserve">. 841/1, 841/2, 841/3, 841/4, 841/5, 841/6, 841/7, 841/8, 841/9, 841/10, 841/11, 841/12, 841/13, 841/14, 864, 878/1, 878/2, 878/3, 878/4, 878/5, 878/6, 878/7, 878/8, 878/9, 878/10, 878/11, 882, 532/10, 533/1, 532/9, 531/5, </w:t>
      </w:r>
      <w:r w:rsidR="00CE1ABF">
        <w:rPr>
          <w:sz w:val="22"/>
          <w:szCs w:val="22"/>
        </w:rPr>
        <w:t>531/3, 529/1, 527/1, 523/1, 601/1, 604/6, 607, 839/12, 838, 837, 840, 841/1, 842/2, 669/3, 669/4, 671/2, 671/3, 671/6, 676/2, 676/3, 677, w o</w:t>
      </w:r>
      <w:r w:rsidR="00CE0146">
        <w:rPr>
          <w:sz w:val="22"/>
          <w:szCs w:val="22"/>
        </w:rPr>
        <w:t>brębie ewidencyjnym Wiązownica</w:t>
      </w:r>
      <w:r w:rsidR="00CB0619">
        <w:rPr>
          <w:sz w:val="22"/>
          <w:szCs w:val="22"/>
        </w:rPr>
        <w:t>.</w:t>
      </w:r>
    </w:p>
    <w:p w:rsidR="00191473" w:rsidRDefault="00CE1ABF" w:rsidP="009A48AC">
      <w:pPr>
        <w:autoSpaceDE w:val="0"/>
        <w:autoSpaceDN w:val="0"/>
        <w:adjustRightInd w:val="0"/>
        <w:spacing w:line="240" w:lineRule="auto"/>
        <w:ind w:left="567" w:hanging="567"/>
        <w:jc w:val="both"/>
        <w:rPr>
          <w:sz w:val="22"/>
          <w:szCs w:val="22"/>
        </w:rPr>
      </w:pPr>
      <w:r>
        <w:rPr>
          <w:sz w:val="22"/>
          <w:szCs w:val="22"/>
        </w:rPr>
        <w:t>2.2</w:t>
      </w:r>
      <w:r>
        <w:rPr>
          <w:sz w:val="22"/>
          <w:szCs w:val="22"/>
        </w:rPr>
        <w:tab/>
      </w:r>
      <w:r w:rsidR="00D70CAA">
        <w:rPr>
          <w:sz w:val="22"/>
          <w:szCs w:val="22"/>
        </w:rPr>
        <w:t>Łączna długość sieci wodociągowej</w:t>
      </w:r>
      <w:r>
        <w:rPr>
          <w:sz w:val="22"/>
          <w:szCs w:val="22"/>
        </w:rPr>
        <w:t xml:space="preserve"> </w:t>
      </w:r>
      <w:r w:rsidR="002065C3">
        <w:rPr>
          <w:sz w:val="22"/>
          <w:szCs w:val="22"/>
        </w:rPr>
        <w:t>z</w:t>
      </w:r>
      <w:r>
        <w:rPr>
          <w:sz w:val="22"/>
          <w:szCs w:val="22"/>
        </w:rPr>
        <w:t xml:space="preserve"> rur PE 100 SDR17 </w:t>
      </w:r>
      <w:r w:rsidRPr="00CE1ABF">
        <w:rPr>
          <w:sz w:val="16"/>
          <w:szCs w:val="16"/>
        </w:rPr>
        <w:t>DN</w:t>
      </w:r>
      <w:r>
        <w:rPr>
          <w:sz w:val="22"/>
          <w:szCs w:val="22"/>
        </w:rPr>
        <w:t xml:space="preserve">  90 i </w:t>
      </w:r>
      <w:r w:rsidRPr="00CE1ABF">
        <w:rPr>
          <w:sz w:val="16"/>
          <w:szCs w:val="16"/>
        </w:rPr>
        <w:t>DN</w:t>
      </w:r>
      <w:r>
        <w:rPr>
          <w:sz w:val="22"/>
          <w:szCs w:val="22"/>
        </w:rPr>
        <w:t>110</w:t>
      </w:r>
      <w:r w:rsidR="00D70CAA">
        <w:rPr>
          <w:sz w:val="22"/>
          <w:szCs w:val="22"/>
        </w:rPr>
        <w:t xml:space="preserve">  wynosi długość</w:t>
      </w:r>
      <w:r w:rsidR="00191473">
        <w:rPr>
          <w:sz w:val="22"/>
          <w:szCs w:val="22"/>
        </w:rPr>
        <w:t xml:space="preserve"> 4 056 m., w tym:</w:t>
      </w:r>
    </w:p>
    <w:p w:rsidR="00191473" w:rsidRDefault="00191473" w:rsidP="009A48AC">
      <w:pPr>
        <w:autoSpaceDE w:val="0"/>
        <w:autoSpaceDN w:val="0"/>
        <w:adjustRightInd w:val="0"/>
        <w:spacing w:line="240" w:lineRule="auto"/>
        <w:ind w:left="567" w:hanging="567"/>
        <w:jc w:val="both"/>
        <w:rPr>
          <w:sz w:val="22"/>
          <w:szCs w:val="22"/>
        </w:rPr>
      </w:pPr>
      <w:r>
        <w:rPr>
          <w:sz w:val="22"/>
          <w:szCs w:val="22"/>
        </w:rPr>
        <w:tab/>
        <w:t xml:space="preserve">- sieć  z rur PE 100 SDR17 </w:t>
      </w:r>
      <w:r w:rsidRPr="00CE1ABF">
        <w:rPr>
          <w:sz w:val="16"/>
          <w:szCs w:val="16"/>
        </w:rPr>
        <w:t>DN</w:t>
      </w:r>
      <w:r>
        <w:rPr>
          <w:sz w:val="22"/>
          <w:szCs w:val="22"/>
        </w:rPr>
        <w:t xml:space="preserve"> 90     L=2604 m.</w:t>
      </w:r>
    </w:p>
    <w:p w:rsidR="002065C3" w:rsidRDefault="00191473" w:rsidP="009A48AC">
      <w:pPr>
        <w:autoSpaceDE w:val="0"/>
        <w:autoSpaceDN w:val="0"/>
        <w:adjustRightInd w:val="0"/>
        <w:spacing w:line="240" w:lineRule="auto"/>
        <w:ind w:left="567" w:hanging="567"/>
        <w:jc w:val="both"/>
        <w:rPr>
          <w:sz w:val="22"/>
          <w:szCs w:val="22"/>
        </w:rPr>
      </w:pPr>
      <w:r>
        <w:rPr>
          <w:sz w:val="22"/>
          <w:szCs w:val="22"/>
        </w:rPr>
        <w:tab/>
        <w:t xml:space="preserve">- sieć  z rur PE 100 SDR17 </w:t>
      </w:r>
      <w:r w:rsidRPr="00CE1ABF">
        <w:rPr>
          <w:sz w:val="16"/>
          <w:szCs w:val="16"/>
        </w:rPr>
        <w:t>DN</w:t>
      </w:r>
      <w:r>
        <w:rPr>
          <w:sz w:val="22"/>
          <w:szCs w:val="22"/>
        </w:rPr>
        <w:t xml:space="preserve"> 110   </w:t>
      </w:r>
      <w:r w:rsidR="00C15812">
        <w:rPr>
          <w:sz w:val="22"/>
          <w:szCs w:val="22"/>
        </w:rPr>
        <w:t>L=</w:t>
      </w:r>
      <w:r>
        <w:rPr>
          <w:sz w:val="22"/>
          <w:szCs w:val="22"/>
        </w:rPr>
        <w:t>1452 m.</w:t>
      </w:r>
    </w:p>
    <w:p w:rsidR="002065C3" w:rsidRPr="00BE4EB3" w:rsidRDefault="00BE4EB3" w:rsidP="009A48AC">
      <w:pPr>
        <w:pStyle w:val="Tekstpodstawowy"/>
        <w:spacing w:after="0"/>
        <w:ind w:left="567" w:hanging="567"/>
        <w:jc w:val="both"/>
        <w:rPr>
          <w:rFonts w:ascii="CG Omega" w:hAnsi="CG Omega"/>
          <w:b w:val="0"/>
          <w:sz w:val="22"/>
          <w:szCs w:val="22"/>
        </w:rPr>
      </w:pPr>
      <w:r w:rsidRPr="00BE4EB3">
        <w:rPr>
          <w:rFonts w:ascii="CG Omega" w:hAnsi="CG Omega"/>
          <w:b w:val="0"/>
          <w:sz w:val="22"/>
          <w:szCs w:val="22"/>
        </w:rPr>
        <w:t>2.3</w:t>
      </w:r>
      <w:r w:rsidRPr="00BE4EB3">
        <w:rPr>
          <w:rFonts w:ascii="CG Omega" w:hAnsi="CG Omega"/>
          <w:b w:val="0"/>
          <w:sz w:val="22"/>
          <w:szCs w:val="22"/>
        </w:rPr>
        <w:tab/>
        <w:t xml:space="preserve">Sieć wodociągowa ma charakter sieci rozdzielczej włączona zostanie do istniejących przewodów zlokalizowanych zgodnie  z projektem zagospodarowania. </w:t>
      </w:r>
      <w:r>
        <w:rPr>
          <w:rFonts w:ascii="CG Omega" w:hAnsi="CG Omega"/>
          <w:b w:val="0"/>
          <w:sz w:val="22"/>
          <w:szCs w:val="22"/>
        </w:rPr>
        <w:t>Elementami sieci wodociągowej są</w:t>
      </w:r>
      <w:r w:rsidRPr="00BE4EB3">
        <w:rPr>
          <w:rFonts w:ascii="CG Omega" w:hAnsi="CG Omega"/>
          <w:b w:val="0"/>
          <w:sz w:val="22"/>
          <w:szCs w:val="22"/>
        </w:rPr>
        <w:t xml:space="preserve"> zasuwy DN80; DN100 kołni</w:t>
      </w:r>
      <w:r>
        <w:rPr>
          <w:rFonts w:ascii="CG Omega" w:hAnsi="CG Omega"/>
          <w:b w:val="0"/>
          <w:sz w:val="22"/>
          <w:szCs w:val="22"/>
        </w:rPr>
        <w:t xml:space="preserve">erzowe </w:t>
      </w:r>
      <w:r w:rsidRPr="00BE4EB3">
        <w:rPr>
          <w:rFonts w:ascii="CG Omega" w:hAnsi="CG Omega"/>
          <w:b w:val="0"/>
          <w:sz w:val="22"/>
          <w:szCs w:val="22"/>
        </w:rPr>
        <w:t xml:space="preserve">wraz z obudowami i skrzynkami </w:t>
      </w:r>
      <w:r>
        <w:rPr>
          <w:rFonts w:ascii="CG Omega" w:hAnsi="CG Omega"/>
          <w:b w:val="0"/>
          <w:sz w:val="22"/>
          <w:szCs w:val="22"/>
        </w:rPr>
        <w:t xml:space="preserve">ulicznymi do zasuw oraz </w:t>
      </w:r>
      <w:r w:rsidRPr="00BE4EB3">
        <w:rPr>
          <w:rFonts w:ascii="CG Omega" w:hAnsi="CG Omega"/>
          <w:b w:val="0"/>
          <w:sz w:val="22"/>
          <w:szCs w:val="22"/>
        </w:rPr>
        <w:t>hydranty przeciwpożarowe nadziemne DN 80 mm z zasuwami odcinającymi kołnierzowymi DN 80.</w:t>
      </w:r>
    </w:p>
    <w:p w:rsidR="002750F9" w:rsidRPr="00D70CAA" w:rsidRDefault="0063031F" w:rsidP="009A48AC">
      <w:pPr>
        <w:autoSpaceDE w:val="0"/>
        <w:autoSpaceDN w:val="0"/>
        <w:adjustRightInd w:val="0"/>
        <w:spacing w:line="240" w:lineRule="auto"/>
        <w:jc w:val="both"/>
        <w:rPr>
          <w:b/>
          <w:sz w:val="22"/>
          <w:szCs w:val="22"/>
        </w:rPr>
      </w:pPr>
      <w:r w:rsidRPr="004172F1">
        <w:rPr>
          <w:b/>
          <w:sz w:val="22"/>
          <w:szCs w:val="22"/>
        </w:rPr>
        <w:lastRenderedPageBreak/>
        <w:t>2.</w:t>
      </w:r>
      <w:r w:rsidR="00BE4EB3">
        <w:rPr>
          <w:b/>
          <w:sz w:val="22"/>
          <w:szCs w:val="22"/>
        </w:rPr>
        <w:t>4</w:t>
      </w:r>
      <w:r w:rsidRPr="004172F1">
        <w:rPr>
          <w:b/>
          <w:sz w:val="22"/>
          <w:szCs w:val="22"/>
        </w:rPr>
        <w:t xml:space="preserve"> </w:t>
      </w:r>
      <w:r w:rsidR="00FD02D9" w:rsidRPr="004172F1">
        <w:rPr>
          <w:b/>
          <w:sz w:val="22"/>
          <w:szCs w:val="22"/>
        </w:rPr>
        <w:t xml:space="preserve">   </w:t>
      </w:r>
      <w:r w:rsidRPr="004172F1">
        <w:rPr>
          <w:b/>
          <w:sz w:val="22"/>
          <w:szCs w:val="22"/>
        </w:rPr>
        <w:t>Zakres robót do wykonania obejmuje następujące elementy:</w:t>
      </w:r>
    </w:p>
    <w:p w:rsidR="00E015C4" w:rsidRPr="008C154D" w:rsidRDefault="008C154D" w:rsidP="009A48AC">
      <w:pPr>
        <w:numPr>
          <w:ilvl w:val="0"/>
          <w:numId w:val="42"/>
        </w:numPr>
        <w:tabs>
          <w:tab w:val="left" w:pos="567"/>
          <w:tab w:val="left" w:pos="720"/>
        </w:tabs>
        <w:suppressAutoHyphens/>
        <w:spacing w:line="240" w:lineRule="auto"/>
        <w:ind w:hanging="213"/>
        <w:jc w:val="both"/>
        <w:rPr>
          <w:color w:val="000000"/>
          <w:spacing w:val="-7"/>
          <w:sz w:val="22"/>
          <w:szCs w:val="22"/>
        </w:rPr>
      </w:pPr>
      <w:r>
        <w:rPr>
          <w:color w:val="000000"/>
          <w:spacing w:val="-7"/>
          <w:sz w:val="22"/>
          <w:szCs w:val="22"/>
        </w:rPr>
        <w:t>r</w:t>
      </w:r>
      <w:r w:rsidR="00E015C4" w:rsidRPr="008C154D">
        <w:rPr>
          <w:color w:val="000000"/>
          <w:spacing w:val="-7"/>
          <w:sz w:val="22"/>
          <w:szCs w:val="22"/>
        </w:rPr>
        <w:t>oboty przygotowawcze, wytyczenie trasy przebiegu sieci,</w:t>
      </w:r>
    </w:p>
    <w:p w:rsidR="00D70CAA" w:rsidRPr="008C154D" w:rsidRDefault="008C154D" w:rsidP="009A48AC">
      <w:pPr>
        <w:numPr>
          <w:ilvl w:val="0"/>
          <w:numId w:val="42"/>
        </w:numPr>
        <w:tabs>
          <w:tab w:val="left" w:pos="360"/>
          <w:tab w:val="left" w:pos="720"/>
        </w:tabs>
        <w:suppressAutoHyphens/>
        <w:spacing w:line="240" w:lineRule="auto"/>
        <w:ind w:hanging="213"/>
        <w:jc w:val="both"/>
        <w:rPr>
          <w:color w:val="000000"/>
          <w:spacing w:val="-7"/>
          <w:sz w:val="22"/>
          <w:szCs w:val="22"/>
        </w:rPr>
      </w:pPr>
      <w:r>
        <w:rPr>
          <w:color w:val="000000"/>
          <w:spacing w:val="-7"/>
          <w:sz w:val="22"/>
          <w:szCs w:val="22"/>
        </w:rPr>
        <w:t>r</w:t>
      </w:r>
      <w:r w:rsidR="002750F9" w:rsidRPr="008C154D">
        <w:rPr>
          <w:color w:val="000000"/>
          <w:spacing w:val="-7"/>
          <w:sz w:val="22"/>
          <w:szCs w:val="22"/>
        </w:rPr>
        <w:t xml:space="preserve">oboty ziemne, </w:t>
      </w:r>
    </w:p>
    <w:p w:rsidR="002750F9" w:rsidRPr="008C154D" w:rsidRDefault="008C154D" w:rsidP="009A48AC">
      <w:pPr>
        <w:numPr>
          <w:ilvl w:val="0"/>
          <w:numId w:val="42"/>
        </w:numPr>
        <w:tabs>
          <w:tab w:val="left" w:pos="360"/>
          <w:tab w:val="left" w:pos="720"/>
        </w:tabs>
        <w:suppressAutoHyphens/>
        <w:spacing w:line="240" w:lineRule="auto"/>
        <w:ind w:hanging="213"/>
        <w:jc w:val="both"/>
        <w:rPr>
          <w:color w:val="000000"/>
          <w:spacing w:val="-7"/>
          <w:sz w:val="22"/>
          <w:szCs w:val="22"/>
        </w:rPr>
      </w:pPr>
      <w:r>
        <w:rPr>
          <w:color w:val="000000"/>
          <w:spacing w:val="-7"/>
          <w:sz w:val="22"/>
          <w:szCs w:val="22"/>
        </w:rPr>
        <w:t>r</w:t>
      </w:r>
      <w:r w:rsidR="00E015C4" w:rsidRPr="008C154D">
        <w:rPr>
          <w:color w:val="000000"/>
          <w:spacing w:val="-7"/>
          <w:sz w:val="22"/>
          <w:szCs w:val="22"/>
        </w:rPr>
        <w:t xml:space="preserve">oboty montażowe </w:t>
      </w:r>
      <w:r w:rsidR="00D70CAA" w:rsidRPr="008C154D">
        <w:rPr>
          <w:color w:val="000000"/>
          <w:spacing w:val="-7"/>
          <w:sz w:val="22"/>
          <w:szCs w:val="22"/>
        </w:rPr>
        <w:t xml:space="preserve">rurociągów ciśnieniowych z rur PE średnicy 110 mm. </w:t>
      </w:r>
      <w:r w:rsidR="002750F9" w:rsidRPr="008C154D">
        <w:rPr>
          <w:color w:val="000000"/>
          <w:spacing w:val="-7"/>
          <w:sz w:val="22"/>
          <w:szCs w:val="22"/>
        </w:rPr>
        <w:t xml:space="preserve"> </w:t>
      </w:r>
    </w:p>
    <w:p w:rsidR="00D70CAA" w:rsidRPr="008C154D" w:rsidRDefault="008C154D" w:rsidP="009A48AC">
      <w:pPr>
        <w:numPr>
          <w:ilvl w:val="0"/>
          <w:numId w:val="42"/>
        </w:numPr>
        <w:tabs>
          <w:tab w:val="left" w:pos="360"/>
          <w:tab w:val="left" w:pos="720"/>
        </w:tabs>
        <w:suppressAutoHyphens/>
        <w:spacing w:line="240" w:lineRule="auto"/>
        <w:ind w:hanging="213"/>
        <w:jc w:val="both"/>
        <w:rPr>
          <w:color w:val="000000"/>
          <w:spacing w:val="-7"/>
          <w:sz w:val="22"/>
          <w:szCs w:val="22"/>
        </w:rPr>
      </w:pPr>
      <w:r>
        <w:rPr>
          <w:color w:val="000000"/>
          <w:spacing w:val="-7"/>
          <w:sz w:val="22"/>
          <w:szCs w:val="22"/>
        </w:rPr>
        <w:t>r</w:t>
      </w:r>
      <w:r w:rsidRPr="008C154D">
        <w:rPr>
          <w:color w:val="000000"/>
          <w:spacing w:val="-7"/>
          <w:sz w:val="22"/>
          <w:szCs w:val="22"/>
        </w:rPr>
        <w:t xml:space="preserve">oboty montażowe </w:t>
      </w:r>
      <w:r w:rsidR="00D70CAA" w:rsidRPr="008C154D">
        <w:rPr>
          <w:color w:val="000000"/>
          <w:spacing w:val="-7"/>
          <w:sz w:val="22"/>
          <w:szCs w:val="22"/>
        </w:rPr>
        <w:t xml:space="preserve">rurociągów ciśnieniowych z rur PE średnicy 90 mm. </w:t>
      </w:r>
    </w:p>
    <w:p w:rsidR="002750F9" w:rsidRPr="008C154D" w:rsidRDefault="008C154D" w:rsidP="009A48AC">
      <w:pPr>
        <w:numPr>
          <w:ilvl w:val="0"/>
          <w:numId w:val="42"/>
        </w:numPr>
        <w:tabs>
          <w:tab w:val="left" w:pos="360"/>
          <w:tab w:val="left" w:pos="720"/>
        </w:tabs>
        <w:suppressAutoHyphens/>
        <w:spacing w:line="240" w:lineRule="auto"/>
        <w:ind w:hanging="213"/>
        <w:jc w:val="both"/>
        <w:rPr>
          <w:color w:val="000000"/>
          <w:spacing w:val="-7"/>
          <w:sz w:val="22"/>
          <w:szCs w:val="22"/>
        </w:rPr>
      </w:pPr>
      <w:r>
        <w:rPr>
          <w:color w:val="000000"/>
          <w:spacing w:val="-7"/>
          <w:sz w:val="22"/>
          <w:szCs w:val="22"/>
        </w:rPr>
        <w:t>z</w:t>
      </w:r>
      <w:r w:rsidR="002750F9" w:rsidRPr="008C154D">
        <w:rPr>
          <w:color w:val="000000"/>
          <w:spacing w:val="-7"/>
          <w:sz w:val="22"/>
          <w:szCs w:val="22"/>
        </w:rPr>
        <w:t>asypanie wykopu z zagęszczeniem.</w:t>
      </w:r>
    </w:p>
    <w:p w:rsidR="002750F9" w:rsidRPr="008C154D" w:rsidRDefault="008C154D" w:rsidP="009A48AC">
      <w:pPr>
        <w:numPr>
          <w:ilvl w:val="0"/>
          <w:numId w:val="42"/>
        </w:numPr>
        <w:tabs>
          <w:tab w:val="left" w:pos="360"/>
          <w:tab w:val="left" w:pos="720"/>
        </w:tabs>
        <w:suppressAutoHyphens/>
        <w:spacing w:line="240" w:lineRule="auto"/>
        <w:ind w:hanging="213"/>
        <w:jc w:val="both"/>
        <w:rPr>
          <w:color w:val="000000"/>
          <w:spacing w:val="-7"/>
          <w:sz w:val="22"/>
          <w:szCs w:val="22"/>
        </w:rPr>
      </w:pPr>
      <w:r>
        <w:rPr>
          <w:color w:val="000000"/>
          <w:spacing w:val="-7"/>
          <w:sz w:val="22"/>
          <w:szCs w:val="22"/>
        </w:rPr>
        <w:t>m</w:t>
      </w:r>
      <w:r w:rsidR="002750F9" w:rsidRPr="008C154D">
        <w:rPr>
          <w:color w:val="000000"/>
          <w:spacing w:val="-7"/>
          <w:sz w:val="22"/>
          <w:szCs w:val="22"/>
        </w:rPr>
        <w:t xml:space="preserve">ontaż hydrantów przeciwpożarowych nadziemnych </w:t>
      </w:r>
      <w:r w:rsidR="00D70CAA" w:rsidRPr="008C154D">
        <w:rPr>
          <w:color w:val="000000"/>
          <w:spacing w:val="-7"/>
          <w:sz w:val="22"/>
          <w:szCs w:val="22"/>
        </w:rPr>
        <w:t>wraz z zasuwami</w:t>
      </w:r>
      <w:r w:rsidR="002750F9" w:rsidRPr="008C154D">
        <w:rPr>
          <w:color w:val="000000"/>
          <w:spacing w:val="-7"/>
          <w:sz w:val="22"/>
          <w:szCs w:val="22"/>
        </w:rPr>
        <w:t>.</w:t>
      </w:r>
    </w:p>
    <w:p w:rsidR="00C15812" w:rsidRPr="009A48AC" w:rsidRDefault="008C154D" w:rsidP="009A48AC">
      <w:pPr>
        <w:numPr>
          <w:ilvl w:val="0"/>
          <w:numId w:val="42"/>
        </w:numPr>
        <w:tabs>
          <w:tab w:val="left" w:pos="360"/>
          <w:tab w:val="left" w:pos="720"/>
        </w:tabs>
        <w:suppressAutoHyphens/>
        <w:spacing w:line="240" w:lineRule="auto"/>
        <w:ind w:hanging="213"/>
        <w:jc w:val="both"/>
        <w:rPr>
          <w:b/>
          <w:color w:val="000000"/>
          <w:sz w:val="22"/>
          <w:szCs w:val="22"/>
        </w:rPr>
      </w:pPr>
      <w:r>
        <w:rPr>
          <w:color w:val="000000"/>
          <w:spacing w:val="-7"/>
          <w:sz w:val="22"/>
          <w:szCs w:val="22"/>
        </w:rPr>
        <w:t>w</w:t>
      </w:r>
      <w:r w:rsidR="002750F9" w:rsidRPr="008C154D">
        <w:rPr>
          <w:color w:val="000000"/>
          <w:spacing w:val="-7"/>
          <w:sz w:val="22"/>
          <w:szCs w:val="22"/>
        </w:rPr>
        <w:t xml:space="preserve">ykonanie próby szczelności sieci wodociągowej, płukanie i dezynfekcja sieci. </w:t>
      </w:r>
    </w:p>
    <w:p w:rsidR="009A48AC" w:rsidRPr="008C154D" w:rsidRDefault="009A48AC" w:rsidP="009A48AC">
      <w:pPr>
        <w:tabs>
          <w:tab w:val="left" w:pos="360"/>
          <w:tab w:val="left" w:pos="720"/>
        </w:tabs>
        <w:suppressAutoHyphens/>
        <w:spacing w:line="240" w:lineRule="auto"/>
        <w:ind w:left="780"/>
        <w:jc w:val="both"/>
        <w:rPr>
          <w:b/>
          <w:color w:val="000000"/>
          <w:sz w:val="22"/>
          <w:szCs w:val="22"/>
        </w:rPr>
      </w:pPr>
    </w:p>
    <w:p w:rsidR="00E56F11" w:rsidRDefault="00BE4EB3" w:rsidP="000F2164">
      <w:pPr>
        <w:autoSpaceDE w:val="0"/>
        <w:autoSpaceDN w:val="0"/>
        <w:adjustRightInd w:val="0"/>
        <w:spacing w:line="240" w:lineRule="auto"/>
        <w:ind w:left="567" w:hanging="567"/>
        <w:jc w:val="both"/>
        <w:rPr>
          <w:sz w:val="22"/>
          <w:szCs w:val="22"/>
        </w:rPr>
      </w:pPr>
      <w:r>
        <w:rPr>
          <w:sz w:val="22"/>
          <w:szCs w:val="22"/>
        </w:rPr>
        <w:t>2.5</w:t>
      </w:r>
      <w:r w:rsidR="00FD02D9">
        <w:rPr>
          <w:sz w:val="22"/>
          <w:szCs w:val="22"/>
        </w:rPr>
        <w:t xml:space="preserve">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BE4EB3" w:rsidP="000F2164">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Wykonawca składając ofertę zobowiązuje się wykonać roboty budowlane opisane w</w:t>
      </w:r>
      <w:r w:rsidR="0096283A">
        <w:rPr>
          <w:sz w:val="22"/>
          <w:szCs w:val="22"/>
        </w:rPr>
        <w:t> </w:t>
      </w:r>
      <w:r w:rsidR="0035678A">
        <w:rPr>
          <w:sz w:val="22"/>
          <w:szCs w:val="22"/>
        </w:rPr>
        <w:t>projekcie budowlanym i specyfikacji technicznej wykonania i odbioru robót budowlanych.</w:t>
      </w:r>
    </w:p>
    <w:p w:rsidR="00DC7B9F" w:rsidRDefault="00BE4EB3" w:rsidP="00170BEC">
      <w:pPr>
        <w:autoSpaceDE w:val="0"/>
        <w:autoSpaceDN w:val="0"/>
        <w:adjustRightInd w:val="0"/>
        <w:spacing w:line="240" w:lineRule="auto"/>
        <w:ind w:left="567" w:hanging="567"/>
        <w:jc w:val="both"/>
        <w:rPr>
          <w:sz w:val="22"/>
          <w:szCs w:val="22"/>
        </w:rPr>
      </w:pPr>
      <w:r>
        <w:rPr>
          <w:sz w:val="22"/>
          <w:szCs w:val="22"/>
        </w:rPr>
        <w:t>2.7</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Default="00BE4EB3" w:rsidP="00170BEC">
      <w:pPr>
        <w:autoSpaceDE w:val="0"/>
        <w:autoSpaceDN w:val="0"/>
        <w:adjustRightInd w:val="0"/>
        <w:spacing w:line="240" w:lineRule="auto"/>
        <w:ind w:left="567" w:hanging="567"/>
        <w:jc w:val="both"/>
        <w:rPr>
          <w:sz w:val="22"/>
          <w:szCs w:val="22"/>
        </w:rPr>
      </w:pPr>
      <w:r>
        <w:rPr>
          <w:sz w:val="22"/>
          <w:szCs w:val="22"/>
        </w:rPr>
        <w:t>2.8</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9A48AC" w:rsidRPr="000038A5" w:rsidRDefault="009A48AC" w:rsidP="00170BEC">
      <w:pPr>
        <w:autoSpaceDE w:val="0"/>
        <w:autoSpaceDN w:val="0"/>
        <w:adjustRightInd w:val="0"/>
        <w:spacing w:line="240" w:lineRule="auto"/>
        <w:ind w:left="567" w:hanging="567"/>
        <w:jc w:val="both"/>
        <w:rPr>
          <w:sz w:val="22"/>
          <w:szCs w:val="22"/>
        </w:rPr>
      </w:pPr>
    </w:p>
    <w:p w:rsidR="002750F9" w:rsidRDefault="00BE4EB3" w:rsidP="008C154D">
      <w:pPr>
        <w:autoSpaceDE w:val="0"/>
        <w:autoSpaceDN w:val="0"/>
        <w:adjustRightInd w:val="0"/>
        <w:ind w:left="567" w:hanging="567"/>
        <w:jc w:val="both"/>
        <w:rPr>
          <w:rFonts w:eastAsia="Verdana,Bold" w:cs="Verdana"/>
          <w:b/>
          <w:sz w:val="22"/>
          <w:szCs w:val="22"/>
        </w:rPr>
      </w:pPr>
      <w:r>
        <w:rPr>
          <w:rFonts w:eastAsia="Verdana,Bold" w:cs="Verdana"/>
          <w:b/>
          <w:sz w:val="22"/>
          <w:szCs w:val="22"/>
        </w:rPr>
        <w:t>2.9</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BE4EB3"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2.9</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dokumentacją projektowo – wykonawczą i specyfikacją techniczną wykonania i</w:t>
      </w:r>
      <w:r w:rsidR="0096283A">
        <w:rPr>
          <w:rFonts w:eastAsia="Verdana,Bold" w:cs="Verdana"/>
          <w:sz w:val="22"/>
          <w:szCs w:val="22"/>
        </w:rPr>
        <w:t> </w:t>
      </w:r>
      <w:r w:rsidR="00883761">
        <w:rPr>
          <w:rFonts w:eastAsia="Verdana,Bold" w:cs="Verdana"/>
          <w:sz w:val="22"/>
          <w:szCs w:val="22"/>
        </w:rPr>
        <w:t>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000FA4" w:rsidRDefault="00BE4EB3"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2.9</w:t>
      </w:r>
      <w:r w:rsidR="00000FA4">
        <w:rPr>
          <w:rFonts w:eastAsia="Verdana,Bold" w:cs="Verdana"/>
          <w:sz w:val="22"/>
          <w:szCs w:val="22"/>
        </w:rPr>
        <w:t>.2</w:t>
      </w:r>
      <w:r w:rsidR="00000FA4">
        <w:rPr>
          <w:rFonts w:eastAsia="Verdana,Bold" w:cs="Verdana"/>
          <w:sz w:val="22"/>
          <w:szCs w:val="22"/>
        </w:rPr>
        <w:tab/>
        <w:t>sporządzenie szczegółowego planu bezpieczeństwa i ochrony zdrowia na podstawie rozporządzenia Ministra Infrastruktury z dnia 23.06.2003 r.</w:t>
      </w:r>
    </w:p>
    <w:p w:rsidR="00BE4EB3" w:rsidRPr="00A767CA" w:rsidRDefault="00F31A0C"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roboty należy prowadzić pod stałym nadzorem uprawnionego geodety na własny koszt,</w:t>
      </w:r>
      <w:r w:rsidR="008C154D" w:rsidRPr="00A767CA">
        <w:rPr>
          <w:rFonts w:ascii="CG Omega" w:eastAsia="Verdana,Bold" w:hAnsi="CG Omega" w:cs="Verdana"/>
          <w:b w:val="0"/>
          <w:sz w:val="22"/>
          <w:szCs w:val="22"/>
        </w:rPr>
        <w:t xml:space="preserve"> w szczególności  wytyczenie trasy oraz inwentaryzacji geodezyjnej powykonawczej,</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wykonawca  jest odpowiedzialny za jakość wykonanych robót. Do wbudowania mogą być użyte tylko i wyłącznie materiały i ur</w:t>
      </w:r>
      <w:r w:rsidR="005D0BB8" w:rsidRPr="00A767CA">
        <w:rPr>
          <w:rFonts w:ascii="CG Omega" w:eastAsia="Verdana,Bold" w:hAnsi="CG Omega" w:cs="Verdana"/>
          <w:b w:val="0"/>
          <w:sz w:val="22"/>
          <w:szCs w:val="22"/>
        </w:rPr>
        <w:t>ządzenia nowe</w:t>
      </w:r>
      <w:r w:rsidR="008C154D" w:rsidRPr="00A767CA">
        <w:rPr>
          <w:rFonts w:ascii="CG Omega" w:eastAsia="Verdana,Bold" w:hAnsi="CG Omega" w:cs="Verdana"/>
          <w:b w:val="0"/>
          <w:sz w:val="22"/>
          <w:szCs w:val="22"/>
        </w:rPr>
        <w:t xml:space="preserve"> dopuszczone do obrotu i powszechnego stosowania w budownictwie, zgodnie  z wymogami wynikającymi  z przepisów prawa budowlanego</w:t>
      </w:r>
      <w:r w:rsidRPr="00A767CA">
        <w:rPr>
          <w:rFonts w:ascii="CG Omega" w:eastAsia="Verdana,Bold" w:hAnsi="CG Omega" w:cs="Verdana"/>
          <w:b w:val="0"/>
          <w:sz w:val="22"/>
          <w:szCs w:val="22"/>
        </w:rPr>
        <w:t>.</w:t>
      </w:r>
    </w:p>
    <w:p w:rsidR="00BE4EB3" w:rsidRPr="00A767CA" w:rsidRDefault="008C154D"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Wykonawca zobowiązany jest na każde wezwanie przedstawić przed wbudowaniem materiału lub urządzenia odpowiednich dokumentów, tj. certyfikatów na znak bezpieczeństwa, certyfikatów zgodności, atestów itp.</w:t>
      </w:r>
    </w:p>
    <w:p w:rsidR="00BE4EB3" w:rsidRPr="00A767CA" w:rsidRDefault="008C154D"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 xml:space="preserve">Zapewnienia </w:t>
      </w:r>
      <w:r w:rsidR="0090269A" w:rsidRPr="00A767CA">
        <w:rPr>
          <w:rFonts w:ascii="CG Omega" w:eastAsia="Verdana,Bold" w:hAnsi="CG Omega" w:cs="Verdana"/>
          <w:b w:val="0"/>
          <w:sz w:val="22"/>
          <w:szCs w:val="22"/>
        </w:rPr>
        <w:t xml:space="preserve"> kierowania robotami budowlanymi stanowiącymi przedmiot niniejszego postępowania przez osoby posiadające odpowiednie kwalifikacje i uprawnienia budowlane,</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wykonawca zobowiązany jest do  organizacji placu budowy i jego oznakowania, a</w:t>
      </w:r>
      <w:r w:rsidR="00E56F11" w:rsidRPr="00A767CA">
        <w:rPr>
          <w:rFonts w:ascii="CG Omega" w:eastAsia="Verdana,Bold" w:hAnsi="CG Omega" w:cs="Verdana"/>
          <w:b w:val="0"/>
          <w:sz w:val="22"/>
          <w:szCs w:val="22"/>
        </w:rPr>
        <w:t> </w:t>
      </w:r>
      <w:r w:rsidRPr="00A767CA">
        <w:rPr>
          <w:rFonts w:ascii="CG Omega" w:eastAsia="Verdana,Bold" w:hAnsi="CG Omega" w:cs="Verdana"/>
          <w:b w:val="0"/>
          <w:sz w:val="22"/>
          <w:szCs w:val="22"/>
        </w:rPr>
        <w:t>w razie konieczności  opracowania i uzgodnienia</w:t>
      </w:r>
      <w:r w:rsidR="00F31A0C" w:rsidRPr="00A767CA">
        <w:rPr>
          <w:rFonts w:ascii="CG Omega" w:eastAsia="Verdana,Bold" w:hAnsi="CG Omega" w:cs="Verdana"/>
          <w:b w:val="0"/>
          <w:sz w:val="22"/>
          <w:szCs w:val="22"/>
        </w:rPr>
        <w:t xml:space="preserve"> z zarządcą dróg</w:t>
      </w:r>
      <w:r w:rsidRPr="00A767CA">
        <w:rPr>
          <w:rFonts w:ascii="CG Omega" w:eastAsia="Verdana,Bold" w:hAnsi="CG Omega" w:cs="Verdana"/>
          <w:b w:val="0"/>
          <w:sz w:val="22"/>
          <w:szCs w:val="22"/>
        </w:rPr>
        <w:t xml:space="preserve"> projektu organizacji ruchu w</w:t>
      </w:r>
      <w:r w:rsidR="00E56F11" w:rsidRPr="00A767CA">
        <w:rPr>
          <w:rFonts w:ascii="CG Omega" w:eastAsia="Verdana,Bold" w:hAnsi="CG Omega" w:cs="Verdana"/>
          <w:b w:val="0"/>
          <w:sz w:val="22"/>
          <w:szCs w:val="22"/>
        </w:rPr>
        <w:t> </w:t>
      </w:r>
      <w:r w:rsidRPr="00A767CA">
        <w:rPr>
          <w:rFonts w:ascii="CG Omega" w:eastAsia="Verdana,Bold" w:hAnsi="CG Omega" w:cs="Verdana"/>
          <w:b w:val="0"/>
          <w:sz w:val="22"/>
          <w:szCs w:val="22"/>
        </w:rPr>
        <w:t>obrębie prowadzonych robót, oraz ponoszenia opłat za zajęcie pasa drogowego na czas realizacji robót,</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lang w:eastAsia="en-US"/>
        </w:rPr>
        <w:lastRenderedPageBreak/>
        <w:t>lokalizację podziemnych elementów sieci w obrębie prowadzonych prac ziemnych należy potwierdzić za pomocą przekopów kontrolnych, a w przypadku odkrycia w</w:t>
      </w:r>
      <w:r w:rsidR="00E56F11" w:rsidRPr="00A767CA">
        <w:rPr>
          <w:rFonts w:ascii="CG Omega" w:eastAsia="Verdana,Bold" w:hAnsi="CG Omega" w:cs="Verdana"/>
          <w:b w:val="0"/>
          <w:sz w:val="22"/>
          <w:szCs w:val="22"/>
          <w:lang w:eastAsia="en-US"/>
        </w:rPr>
        <w:t> </w:t>
      </w:r>
      <w:r w:rsidRPr="00A767CA">
        <w:rPr>
          <w:rFonts w:ascii="CG Omega" w:eastAsia="Verdana,Bold" w:hAnsi="CG Omega" w:cs="Verdana"/>
          <w:b w:val="0"/>
          <w:sz w:val="22"/>
          <w:szCs w:val="22"/>
          <w:lang w:eastAsia="en-US"/>
        </w:rPr>
        <w:t>trakcie robot ziemnych urządzeń nienaniesionych na planie, należy je</w:t>
      </w:r>
      <w:r w:rsidR="00E56F11" w:rsidRPr="00A767CA">
        <w:rPr>
          <w:rFonts w:ascii="CG Omega" w:eastAsia="Verdana,Bold" w:hAnsi="CG Omega" w:cs="Verdana"/>
          <w:b w:val="0"/>
          <w:sz w:val="22"/>
          <w:szCs w:val="22"/>
          <w:lang w:eastAsia="en-US"/>
        </w:rPr>
        <w:t> </w:t>
      </w:r>
      <w:r w:rsidRPr="00A767CA">
        <w:rPr>
          <w:rFonts w:ascii="CG Omega" w:eastAsia="Verdana,Bold" w:hAnsi="CG Omega" w:cs="Verdana"/>
          <w:b w:val="0"/>
          <w:sz w:val="22"/>
          <w:szCs w:val="22"/>
          <w:lang w:eastAsia="en-US"/>
        </w:rPr>
        <w:t>zabezpieczyć i powiadomić właściciela urządzeń.</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wykonawca jako wytwórca odpadów w rozumieniu art. 3 ust. 3 pkt. 22 ustawy z</w:t>
      </w:r>
      <w:r w:rsidR="00E56F11" w:rsidRPr="00A767CA">
        <w:rPr>
          <w:rFonts w:ascii="CG Omega" w:eastAsia="Verdana,Bold" w:hAnsi="CG Omega" w:cs="Verdana"/>
          <w:b w:val="0"/>
          <w:sz w:val="22"/>
          <w:szCs w:val="22"/>
        </w:rPr>
        <w:t> </w:t>
      </w:r>
      <w:r w:rsidR="00E71C81" w:rsidRPr="00A767CA">
        <w:rPr>
          <w:rFonts w:ascii="CG Omega" w:eastAsia="Verdana,Bold" w:hAnsi="CG Omega" w:cs="Verdana"/>
          <w:b w:val="0"/>
          <w:sz w:val="22"/>
          <w:szCs w:val="22"/>
        </w:rPr>
        <w:t>dnia 14.12.2012</w:t>
      </w:r>
      <w:r w:rsidRPr="00A767CA">
        <w:rPr>
          <w:rFonts w:ascii="CG Omega" w:eastAsia="Verdana,Bold" w:hAnsi="CG Omega" w:cs="Verdana"/>
          <w:b w:val="0"/>
          <w:sz w:val="22"/>
          <w:szCs w:val="22"/>
        </w:rPr>
        <w:t>r</w:t>
      </w:r>
      <w:r w:rsidR="00F94BB6" w:rsidRPr="00A767CA">
        <w:rPr>
          <w:rFonts w:ascii="CG Omega" w:eastAsia="Verdana,Bold" w:hAnsi="CG Omega" w:cs="Verdana"/>
          <w:b w:val="0"/>
          <w:sz w:val="22"/>
          <w:szCs w:val="22"/>
        </w:rPr>
        <w:t xml:space="preserve">. o odpadach (t.j. Dz. U. z 2020r. poz. </w:t>
      </w:r>
      <w:r w:rsidR="00E71C81" w:rsidRPr="00A767CA">
        <w:rPr>
          <w:rFonts w:ascii="CG Omega" w:eastAsia="Verdana,Bold" w:hAnsi="CG Omega" w:cs="Verdana"/>
          <w:b w:val="0"/>
          <w:sz w:val="22"/>
          <w:szCs w:val="22"/>
        </w:rPr>
        <w:t>7</w:t>
      </w:r>
      <w:r w:rsidR="00F94BB6" w:rsidRPr="00A767CA">
        <w:rPr>
          <w:rFonts w:ascii="CG Omega" w:eastAsia="Verdana,Bold" w:hAnsi="CG Omega" w:cs="Verdana"/>
          <w:b w:val="0"/>
          <w:sz w:val="22"/>
          <w:szCs w:val="22"/>
        </w:rPr>
        <w:t>97</w:t>
      </w:r>
      <w:r w:rsidRPr="00A767CA">
        <w:rPr>
          <w:rFonts w:ascii="CG Omega" w:eastAsia="Verdana,Bold" w:hAnsi="CG Omega" w:cs="Verdana"/>
          <w:b w:val="0"/>
          <w:sz w:val="22"/>
          <w:szCs w:val="22"/>
        </w:rPr>
        <w:t>) ma obowiązek zagospodarowania powstałych podczas re</w:t>
      </w:r>
      <w:r w:rsidR="00853FAB" w:rsidRPr="00A767CA">
        <w:rPr>
          <w:rFonts w:ascii="CG Omega" w:eastAsia="Verdana,Bold" w:hAnsi="CG Omega" w:cs="Verdana"/>
          <w:b w:val="0"/>
          <w:sz w:val="22"/>
          <w:szCs w:val="22"/>
        </w:rPr>
        <w:t xml:space="preserve">alizacji zadania </w:t>
      </w:r>
      <w:r w:rsidRPr="00A767CA">
        <w:rPr>
          <w:rFonts w:ascii="CG Omega" w:eastAsia="Verdana,Bold" w:hAnsi="CG Omega" w:cs="Verdana"/>
          <w:b w:val="0"/>
          <w:sz w:val="22"/>
          <w:szCs w:val="22"/>
        </w:rPr>
        <w:t>odpadów</w:t>
      </w:r>
      <w:r w:rsidR="00E71C81" w:rsidRPr="00A767CA">
        <w:rPr>
          <w:rFonts w:ascii="CG Omega" w:eastAsia="Verdana,Bold" w:hAnsi="CG Omega" w:cs="Verdana"/>
          <w:b w:val="0"/>
          <w:sz w:val="22"/>
          <w:szCs w:val="22"/>
        </w:rPr>
        <w:t>.</w:t>
      </w:r>
      <w:r w:rsidRPr="00A767CA">
        <w:rPr>
          <w:rFonts w:ascii="CG Omega" w:eastAsia="Verdana,Bold" w:hAnsi="CG Omega" w:cs="Verdana"/>
          <w:b w:val="0"/>
          <w:sz w:val="22"/>
          <w:szCs w:val="22"/>
        </w:rPr>
        <w:t xml:space="preserve"> </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 cenie ryczałtowej Wykonawca ma obowiązek uwzględnić miejsce, odległość, koszt wywozu, utylizacji i składowania odpadów.</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 xml:space="preserve">wykonawca ponosi pełną odpowiedzialność za wszelkie działania lub zaniechania własne, </w:t>
      </w:r>
      <w:r w:rsidR="00E56F11" w:rsidRPr="00A767CA">
        <w:rPr>
          <w:rFonts w:ascii="CG Omega" w:eastAsia="Verdana,Bold" w:hAnsi="CG Omega" w:cs="Verdana"/>
          <w:b w:val="0"/>
          <w:sz w:val="22"/>
          <w:szCs w:val="22"/>
        </w:rPr>
        <w:t xml:space="preserve"> </w:t>
      </w:r>
      <w:r w:rsidRPr="00A767CA">
        <w:rPr>
          <w:rFonts w:ascii="CG Omega" w:eastAsia="Verdana,Bold" w:hAnsi="CG Omega" w:cs="Verdana"/>
          <w:b w:val="0"/>
          <w:sz w:val="22"/>
          <w:szCs w:val="22"/>
        </w:rPr>
        <w:t>swoich pracowników oraz podmiotów, którymi się posługuje lub przy pomocy których wykonuje przedmiot umowy.</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wykonawca ma obowiązek zgłosić Zamawiającemu wyk</w:t>
      </w:r>
      <w:r w:rsidR="00853FAB" w:rsidRPr="00A767CA">
        <w:rPr>
          <w:rFonts w:ascii="CG Omega" w:eastAsia="Verdana,Bold" w:hAnsi="CG Omega" w:cs="Verdana"/>
          <w:b w:val="0"/>
          <w:sz w:val="22"/>
          <w:szCs w:val="22"/>
        </w:rPr>
        <w:t xml:space="preserve">onanie robot zanikających i </w:t>
      </w:r>
      <w:r w:rsidRPr="00A767CA">
        <w:rPr>
          <w:rFonts w:ascii="CG Omega" w:eastAsia="Verdana,Bold" w:hAnsi="CG Omega" w:cs="Verdana"/>
          <w:b w:val="0"/>
          <w:sz w:val="22"/>
          <w:szCs w:val="22"/>
        </w:rPr>
        <w:t>ulegających zakryciu, przed ich zakryciem, celem odbioru.</w:t>
      </w:r>
    </w:p>
    <w:p w:rsidR="00BE4EB3" w:rsidRPr="00A767CA" w:rsidRDefault="00B017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 xml:space="preserve">wykonawca ma obowiązek zgłosić </w:t>
      </w:r>
      <w:r w:rsidR="00E56F11" w:rsidRPr="00A767CA">
        <w:rPr>
          <w:rFonts w:ascii="CG Omega" w:eastAsia="Verdana,Bold" w:hAnsi="CG Omega" w:cs="Verdana"/>
          <w:b w:val="0"/>
          <w:sz w:val="22"/>
          <w:szCs w:val="22"/>
        </w:rPr>
        <w:t>gotowość do odbioru przedmiotu u</w:t>
      </w:r>
      <w:r w:rsidRPr="00A767CA">
        <w:rPr>
          <w:rFonts w:ascii="CG Omega" w:eastAsia="Verdana,Bold" w:hAnsi="CG Omega" w:cs="Verdana"/>
          <w:b w:val="0"/>
          <w:sz w:val="22"/>
          <w:szCs w:val="22"/>
        </w:rPr>
        <w:t>mowy i</w:t>
      </w:r>
      <w:r w:rsidR="00E56F11" w:rsidRPr="00A767CA">
        <w:rPr>
          <w:rFonts w:ascii="CG Omega" w:eastAsia="Verdana,Bold" w:hAnsi="CG Omega" w:cs="Verdana"/>
          <w:b w:val="0"/>
          <w:sz w:val="22"/>
          <w:szCs w:val="22"/>
        </w:rPr>
        <w:t> </w:t>
      </w:r>
      <w:r w:rsidRPr="00A767CA">
        <w:rPr>
          <w:rFonts w:ascii="CG Omega" w:eastAsia="Verdana,Bold" w:hAnsi="CG Omega" w:cs="Verdana"/>
          <w:b w:val="0"/>
          <w:sz w:val="22"/>
          <w:szCs w:val="22"/>
        </w:rPr>
        <w:t>uczestniczyć w odbiorze.</w:t>
      </w:r>
    </w:p>
    <w:p w:rsidR="00B02199" w:rsidRPr="00A767CA" w:rsidRDefault="00B02199"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 xml:space="preserve">o zakończeniu robót i zgłoszeniu tego faktu Zamawiającemu </w:t>
      </w:r>
      <w:r w:rsidR="00B01799" w:rsidRPr="00A767CA">
        <w:rPr>
          <w:rFonts w:ascii="CG Omega" w:eastAsia="Verdana,Bold" w:hAnsi="CG Omega" w:cs="Verdana"/>
          <w:b w:val="0"/>
          <w:sz w:val="22"/>
          <w:szCs w:val="22"/>
        </w:rPr>
        <w:t>Wykonawca przekaże Zamawiającemu wszystkie dokumenty potrzebne do odbioru końcowego, umożliwiające ocenę prawidło</w:t>
      </w:r>
      <w:r w:rsidRPr="00A767CA">
        <w:rPr>
          <w:rFonts w:ascii="CG Omega" w:eastAsia="Verdana,Bold" w:hAnsi="CG Omega" w:cs="Verdana"/>
          <w:b w:val="0"/>
          <w:sz w:val="22"/>
          <w:szCs w:val="22"/>
        </w:rPr>
        <w:t>wego wykonania przedmiotu umowy, w szczególności :</w:t>
      </w:r>
    </w:p>
    <w:p w:rsidR="00B02199" w:rsidRPr="00A767CA"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oryginalną dokumentację projektową,</w:t>
      </w:r>
    </w:p>
    <w:p w:rsidR="00B02199" w:rsidRPr="00A767CA"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dziennik budowy,</w:t>
      </w:r>
    </w:p>
    <w:p w:rsidR="00B02199" w:rsidRPr="00A767CA"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oświadczenie kierownika budowy o zakończeniu robót,</w:t>
      </w:r>
    </w:p>
    <w:p w:rsidR="00000FA4" w:rsidRPr="00A767CA"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atesty, certyfikaty, deklaracje zgodności</w:t>
      </w:r>
      <w:r w:rsidR="00000FA4" w:rsidRPr="00A767CA">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A767CA"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geodez</w:t>
      </w:r>
      <w:r w:rsidR="008C154D" w:rsidRPr="00A767CA">
        <w:rPr>
          <w:rFonts w:ascii="CG Omega" w:eastAsia="Verdana,Bold" w:hAnsi="CG Omega" w:cs="Verdana"/>
          <w:b w:val="0"/>
          <w:sz w:val="22"/>
          <w:szCs w:val="22"/>
        </w:rPr>
        <w:t>yjną dokumentację powykonawczą 2</w:t>
      </w:r>
      <w:r w:rsidRPr="00A767CA">
        <w:rPr>
          <w:rFonts w:ascii="CG Omega" w:eastAsia="Verdana,Bold" w:hAnsi="CG Omega" w:cs="Verdana"/>
          <w:b w:val="0"/>
          <w:sz w:val="22"/>
          <w:szCs w:val="22"/>
        </w:rPr>
        <w:t xml:space="preserve"> egz.</w:t>
      </w:r>
    </w:p>
    <w:p w:rsidR="00000FA4" w:rsidRPr="00A767CA"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protokoły z wykonanych prób, pomiarów i badań,</w:t>
      </w:r>
    </w:p>
    <w:p w:rsidR="00000FA4" w:rsidRPr="00A767CA"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 xml:space="preserve">protokoły przekazania/odbioru pasa drogowego, przekroczeń dróg, potoków, cieków wodnych, skrzyżowań z istniejącą  podziemną infrastrukturą techniczną,  </w:t>
      </w:r>
      <w:r w:rsidR="008C154D" w:rsidRPr="00A767CA">
        <w:rPr>
          <w:rFonts w:ascii="CG Omega" w:eastAsia="Verdana,Bold" w:hAnsi="CG Omega" w:cs="Verdana"/>
          <w:b w:val="0"/>
          <w:sz w:val="22"/>
          <w:szCs w:val="22"/>
        </w:rPr>
        <w:t>itp. (jeżeli dotyczy)</w:t>
      </w:r>
      <w:r w:rsidRPr="00A767CA">
        <w:rPr>
          <w:rFonts w:ascii="CG Omega" w:eastAsia="Verdana,Bold" w:hAnsi="CG Omega" w:cs="Verdana"/>
          <w:b w:val="0"/>
          <w:sz w:val="22"/>
          <w:szCs w:val="22"/>
        </w:rPr>
        <w:t>.</w:t>
      </w:r>
    </w:p>
    <w:p w:rsidR="00B02199" w:rsidRPr="00A767CA"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A767CA">
        <w:rPr>
          <w:rFonts w:ascii="CG Omega" w:eastAsia="Verdana,Bold" w:hAnsi="CG Omega" w:cs="Verdana"/>
          <w:b w:val="0"/>
          <w:sz w:val="22"/>
          <w:szCs w:val="22"/>
        </w:rPr>
        <w:t>inne dokumenty zgromadzone w trakcie wykonywania przedmiotu zamówienia</w:t>
      </w:r>
    </w:p>
    <w:p w:rsidR="00E56F11" w:rsidRPr="00A767CA" w:rsidRDefault="00826FBF" w:rsidP="00BE4EB3">
      <w:pPr>
        <w:pStyle w:val="Akapitzlist"/>
        <w:numPr>
          <w:ilvl w:val="2"/>
          <w:numId w:val="52"/>
        </w:numPr>
        <w:autoSpaceDE w:val="0"/>
        <w:autoSpaceDN w:val="0"/>
        <w:adjustRightInd w:val="0"/>
        <w:jc w:val="both"/>
        <w:rPr>
          <w:rFonts w:ascii="CG Omega" w:eastAsia="Verdana,Bold" w:hAnsi="CG Omega" w:cs="Verdana"/>
          <w:b w:val="0"/>
          <w:sz w:val="22"/>
          <w:szCs w:val="22"/>
          <w:lang w:eastAsia="en-US"/>
        </w:rPr>
      </w:pPr>
      <w:r w:rsidRPr="00A767CA">
        <w:rPr>
          <w:rFonts w:ascii="CG Omega" w:eastAsia="Verdana,Bold" w:hAnsi="CG Omega" w:cs="Verdana"/>
          <w:b w:val="0"/>
          <w:sz w:val="22"/>
          <w:szCs w:val="22"/>
        </w:rPr>
        <w:t>w</w:t>
      </w:r>
      <w:r w:rsidR="00B01799" w:rsidRPr="00A767CA">
        <w:rPr>
          <w:rFonts w:ascii="CG Omega" w:eastAsia="Verdana,Bold" w:hAnsi="CG Omega" w:cs="Verdana"/>
          <w:b w:val="0"/>
          <w:sz w:val="22"/>
          <w:szCs w:val="22"/>
        </w:rPr>
        <w:t xml:space="preserve"> cenie ryczałtowej zaoferowanej przez wykonawcę, do zakresu obowiązków wykonawcy należy również:</w:t>
      </w:r>
      <w:r w:rsidR="00853FAB" w:rsidRPr="00A767CA">
        <w:rPr>
          <w:rFonts w:ascii="CG Omega" w:eastAsia="Verdana,Bold" w:hAnsi="CG Omega" w:cs="Verdana"/>
          <w:b w:val="0"/>
          <w:sz w:val="22"/>
          <w:szCs w:val="22"/>
        </w:rPr>
        <w:t xml:space="preserve"> </w:t>
      </w:r>
      <w:r w:rsidR="00B01799" w:rsidRPr="00A767CA">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A767CA">
        <w:rPr>
          <w:rFonts w:eastAsia="Verdana,Bold" w:cs="Verdana"/>
          <w:sz w:val="22"/>
          <w:szCs w:val="22"/>
        </w:rPr>
        <w:t>.10</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A767CA"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w:t>
      </w:r>
      <w:r w:rsidRPr="00DF778A">
        <w:rPr>
          <w:color w:val="000000"/>
          <w:sz w:val="22"/>
          <w:szCs w:val="22"/>
        </w:rPr>
        <w:lastRenderedPageBreak/>
        <w:t xml:space="preserve">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A767CA"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2.12</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w:t>
      </w:r>
      <w:r w:rsidR="00C25C29">
        <w:rPr>
          <w:sz w:val="22"/>
          <w:szCs w:val="22"/>
        </w:rPr>
        <w:t> </w:t>
      </w:r>
      <w:r w:rsidR="00F87A38" w:rsidRPr="009542A4">
        <w:rPr>
          <w:sz w:val="22"/>
          <w:szCs w:val="22"/>
        </w:rPr>
        <w:t>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A767CA" w:rsidP="00853FAB">
      <w:pPr>
        <w:tabs>
          <w:tab w:val="left" w:pos="284"/>
          <w:tab w:val="left" w:pos="3119"/>
        </w:tabs>
        <w:suppressAutoHyphens/>
        <w:autoSpaceDN w:val="0"/>
        <w:spacing w:line="240" w:lineRule="auto"/>
        <w:ind w:left="567" w:hanging="567"/>
        <w:jc w:val="both"/>
        <w:rPr>
          <w:sz w:val="22"/>
          <w:szCs w:val="22"/>
        </w:rPr>
      </w:pPr>
      <w:r>
        <w:rPr>
          <w:sz w:val="22"/>
          <w:szCs w:val="22"/>
        </w:rPr>
        <w:t>2.13</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F34480" w:rsidRDefault="00F34480"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 ( operatorzy sprzętu np. koparki, ładowarki)</w:t>
      </w:r>
    </w:p>
    <w:p w:rsidR="00E65EE7"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montażowe,</w:t>
      </w:r>
    </w:p>
    <w:p w:rsidR="00B1339E" w:rsidRPr="00667575"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r w:rsidR="004054E9" w:rsidRPr="00667575">
        <w:rPr>
          <w:sz w:val="22"/>
          <w:szCs w:val="22"/>
        </w:rPr>
        <w:t xml:space="preserve">   </w:t>
      </w:r>
    </w:p>
    <w:p w:rsidR="002E2EE6" w:rsidRPr="00667575" w:rsidRDefault="00A767CA" w:rsidP="009C1690">
      <w:pPr>
        <w:tabs>
          <w:tab w:val="left" w:pos="0"/>
          <w:tab w:val="left" w:pos="3119"/>
        </w:tabs>
        <w:suppressAutoHyphens/>
        <w:autoSpaceDN w:val="0"/>
        <w:spacing w:line="240" w:lineRule="auto"/>
        <w:ind w:left="567" w:hanging="567"/>
        <w:jc w:val="both"/>
        <w:rPr>
          <w:sz w:val="22"/>
          <w:szCs w:val="22"/>
        </w:rPr>
      </w:pPr>
      <w:r>
        <w:rPr>
          <w:sz w:val="22"/>
          <w:szCs w:val="22"/>
        </w:rPr>
        <w:t>2.14</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96283A">
        <w:rPr>
          <w:sz w:val="22"/>
          <w:szCs w:val="22"/>
        </w:rPr>
        <w:t> </w:t>
      </w:r>
      <w:r w:rsidR="00F87A38" w:rsidRPr="00667575">
        <w:rPr>
          <w:sz w:val="22"/>
          <w:szCs w:val="22"/>
        </w:rPr>
        <w:t>punkcie 2.</w:t>
      </w:r>
      <w:r w:rsidR="002E2EE6" w:rsidRPr="00667575">
        <w:rPr>
          <w:sz w:val="22"/>
          <w:szCs w:val="22"/>
        </w:rPr>
        <w:t>1</w:t>
      </w:r>
      <w:r>
        <w:rPr>
          <w:sz w:val="22"/>
          <w:szCs w:val="22"/>
        </w:rPr>
        <w:t>3</w:t>
      </w:r>
      <w:r w:rsidR="00F87A38" w:rsidRPr="00667575">
        <w:rPr>
          <w:sz w:val="22"/>
          <w:szCs w:val="22"/>
        </w:rPr>
        <w:t xml:space="preserve">. Zamawiający uprawniony jest w szczególności do: </w:t>
      </w:r>
    </w:p>
    <w:p w:rsidR="00F34480" w:rsidRDefault="00A767CA" w:rsidP="00FD02D9">
      <w:pPr>
        <w:jc w:val="both"/>
        <w:rPr>
          <w:rFonts w:cs="Arial"/>
          <w:sz w:val="22"/>
          <w:szCs w:val="22"/>
        </w:rPr>
      </w:pPr>
      <w:r>
        <w:rPr>
          <w:rFonts w:cs="Arial"/>
          <w:sz w:val="22"/>
          <w:szCs w:val="22"/>
        </w:rPr>
        <w:t xml:space="preserve">         - </w:t>
      </w:r>
      <w:r w:rsidR="00FD02D9" w:rsidRPr="00A767CA">
        <w:rPr>
          <w:rFonts w:cs="Arial"/>
          <w:sz w:val="22"/>
          <w:szCs w:val="22"/>
        </w:rPr>
        <w:t xml:space="preserve"> </w:t>
      </w:r>
      <w:r w:rsidR="00F87A38" w:rsidRPr="00A767CA">
        <w:rPr>
          <w:rFonts w:cs="Arial"/>
          <w:sz w:val="22"/>
          <w:szCs w:val="22"/>
        </w:rPr>
        <w:t>żądania oświadczeń i dokumentów w zakre</w:t>
      </w:r>
      <w:r>
        <w:rPr>
          <w:rFonts w:cs="Arial"/>
          <w:sz w:val="22"/>
          <w:szCs w:val="22"/>
        </w:rPr>
        <w:t>sie potwierdzenia spełniania ww</w:t>
      </w:r>
      <w:r w:rsidR="00F34480">
        <w:rPr>
          <w:rFonts w:cs="Arial"/>
          <w:sz w:val="22"/>
          <w:szCs w:val="22"/>
        </w:rPr>
        <w:t>.</w:t>
      </w:r>
      <w:r>
        <w:rPr>
          <w:rFonts w:cs="Arial"/>
          <w:sz w:val="22"/>
          <w:szCs w:val="22"/>
        </w:rPr>
        <w:t xml:space="preserve"> </w:t>
      </w:r>
      <w:r w:rsidR="00F87A38" w:rsidRPr="00FD02D9">
        <w:rPr>
          <w:rFonts w:cs="Arial"/>
          <w:sz w:val="22"/>
          <w:szCs w:val="22"/>
        </w:rPr>
        <w:t xml:space="preserve">wymogów </w:t>
      </w:r>
    </w:p>
    <w:p w:rsidR="00FD02D9" w:rsidRPr="00F34480" w:rsidRDefault="00F34480" w:rsidP="00FD02D9">
      <w:pPr>
        <w:jc w:val="both"/>
        <w:rPr>
          <w:rFonts w:cs="Arial"/>
          <w:sz w:val="22"/>
          <w:szCs w:val="22"/>
        </w:rPr>
      </w:pPr>
      <w:r>
        <w:rPr>
          <w:rFonts w:cs="Arial"/>
          <w:sz w:val="22"/>
          <w:szCs w:val="22"/>
        </w:rPr>
        <w:t xml:space="preserve">            </w:t>
      </w:r>
      <w:r w:rsidR="00F87A38" w:rsidRPr="00FD02D9">
        <w:rPr>
          <w:rFonts w:cs="Arial"/>
          <w:sz w:val="22"/>
          <w:szCs w:val="22"/>
        </w:rPr>
        <w:t xml:space="preserve">i </w:t>
      </w:r>
      <w:r w:rsidR="00A767CA">
        <w:rPr>
          <w:rFonts w:cs="Arial"/>
          <w:sz w:val="22"/>
          <w:szCs w:val="22"/>
        </w:rPr>
        <w:t xml:space="preserve"> </w:t>
      </w:r>
      <w:r w:rsidR="00F87A38" w:rsidRPr="00FD02D9">
        <w:rPr>
          <w:rFonts w:cs="Arial"/>
          <w:sz w:val="22"/>
          <w:szCs w:val="22"/>
        </w:rPr>
        <w:t>dokonywania ich oceny,</w:t>
      </w:r>
    </w:p>
    <w:p w:rsidR="002E2EE6" w:rsidRPr="00FD02D9" w:rsidRDefault="00A767CA" w:rsidP="00FD02D9">
      <w:pPr>
        <w:ind w:firstLine="567"/>
        <w:jc w:val="both"/>
        <w:rPr>
          <w:sz w:val="22"/>
          <w:szCs w:val="22"/>
        </w:rPr>
      </w:pP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A767CA"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A767CA" w:rsidRDefault="00A767CA" w:rsidP="00A767CA">
      <w:pPr>
        <w:jc w:val="both"/>
        <w:rPr>
          <w:sz w:val="22"/>
          <w:szCs w:val="22"/>
        </w:rPr>
      </w:pPr>
      <w:r>
        <w:rPr>
          <w:sz w:val="22"/>
          <w:szCs w:val="22"/>
        </w:rPr>
        <w:t xml:space="preserve">          - </w:t>
      </w:r>
      <w:r w:rsidR="00F87A38" w:rsidRPr="00A767CA">
        <w:rPr>
          <w:sz w:val="22"/>
          <w:szCs w:val="22"/>
        </w:rPr>
        <w:t>przeprowadzania kontroli na miejscu wykonywania świadczenia.</w:t>
      </w:r>
    </w:p>
    <w:p w:rsidR="000F2C37" w:rsidRDefault="00FD02D9" w:rsidP="00FD02D9">
      <w:pPr>
        <w:widowControl w:val="0"/>
        <w:autoSpaceDE w:val="0"/>
        <w:autoSpaceDN w:val="0"/>
        <w:adjustRightInd w:val="0"/>
        <w:ind w:left="567" w:right="11" w:hanging="567"/>
        <w:jc w:val="both"/>
        <w:rPr>
          <w:sz w:val="22"/>
          <w:szCs w:val="22"/>
        </w:rPr>
      </w:pPr>
      <w:r>
        <w:rPr>
          <w:sz w:val="22"/>
          <w:szCs w:val="22"/>
        </w:rPr>
        <w:t>2</w:t>
      </w:r>
      <w:r w:rsidR="00A767CA">
        <w:rPr>
          <w:sz w:val="22"/>
          <w:szCs w:val="22"/>
        </w:rPr>
        <w:t>.15</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9D18A1">
        <w:rPr>
          <w:sz w:val="22"/>
          <w:szCs w:val="22"/>
        </w:rPr>
        <w:t xml:space="preserve">podpisania umowy oświadczenie zawierające  określenie podmiotu składającego oświadczenie, jego datę , zakres czynności wykonywanych przez osoby zatrudnione na podstawie umowy o pracę, </w:t>
      </w:r>
      <w:r w:rsidR="00666ECA" w:rsidRPr="00FD02D9">
        <w:rPr>
          <w:sz w:val="22"/>
          <w:szCs w:val="22"/>
        </w:rPr>
        <w:t xml:space="preserve">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w:t>
      </w:r>
      <w:r w:rsidR="0096283A">
        <w:rPr>
          <w:sz w:val="22"/>
          <w:szCs w:val="22"/>
        </w:rPr>
        <w:t> </w:t>
      </w:r>
      <w:r w:rsidR="00666ECA" w:rsidRPr="00FD02D9">
        <w:rPr>
          <w:sz w:val="22"/>
          <w:szCs w:val="22"/>
        </w:rPr>
        <w:t>przypadku zaistnienia okoliczności skutkujących zmianą wskazanych w wykazie osób, wykonawca jest zobowiązany do zastąpienia  tych osób, innymi osobami na warunkach  jak powyżej.</w:t>
      </w:r>
    </w:p>
    <w:p w:rsidR="00F34480" w:rsidRPr="00567076" w:rsidRDefault="00F34480" w:rsidP="00F34480">
      <w:pPr>
        <w:widowControl w:val="0"/>
        <w:autoSpaceDE w:val="0"/>
        <w:autoSpaceDN w:val="0"/>
        <w:adjustRightInd w:val="0"/>
        <w:ind w:left="567" w:right="11" w:hanging="567"/>
        <w:jc w:val="both"/>
        <w:rPr>
          <w:spacing w:val="1"/>
          <w:sz w:val="22"/>
          <w:szCs w:val="22"/>
        </w:rPr>
      </w:pPr>
      <w:r>
        <w:rPr>
          <w:spacing w:val="1"/>
          <w:sz w:val="22"/>
          <w:szCs w:val="22"/>
        </w:rPr>
        <w:t>2.16</w:t>
      </w:r>
      <w:r w:rsidRPr="00567076">
        <w:rPr>
          <w:spacing w:val="1"/>
          <w:sz w:val="22"/>
          <w:szCs w:val="22"/>
        </w:rPr>
        <w:t xml:space="preserve"> </w:t>
      </w:r>
      <w:r>
        <w:rPr>
          <w:spacing w:val="1"/>
          <w:sz w:val="22"/>
          <w:szCs w:val="22"/>
        </w:rPr>
        <w:tab/>
      </w:r>
      <w:r w:rsidRPr="00567076">
        <w:rPr>
          <w:spacing w:val="1"/>
          <w:sz w:val="22"/>
          <w:szCs w:val="22"/>
        </w:rPr>
        <w:t>Nieprzedłożenie dokum</w:t>
      </w:r>
      <w:r w:rsidR="004E6A0A">
        <w:rPr>
          <w:spacing w:val="1"/>
          <w:sz w:val="22"/>
          <w:szCs w:val="22"/>
        </w:rPr>
        <w:t>entów o których mowa w pkt. 2.15</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F34480" w:rsidRPr="00F34480" w:rsidRDefault="00F34480" w:rsidP="00F34480">
      <w:pPr>
        <w:pStyle w:val="Akapitzlist"/>
        <w:widowControl w:val="0"/>
        <w:numPr>
          <w:ilvl w:val="1"/>
          <w:numId w:val="54"/>
        </w:numPr>
        <w:autoSpaceDE w:val="0"/>
        <w:autoSpaceDN w:val="0"/>
        <w:adjustRightInd w:val="0"/>
        <w:ind w:left="567" w:right="11" w:hanging="567"/>
        <w:jc w:val="both"/>
        <w:rPr>
          <w:rFonts w:ascii="CG Omega" w:hAnsi="CG Omega"/>
          <w:b w:val="0"/>
          <w:spacing w:val="1"/>
          <w:sz w:val="22"/>
          <w:szCs w:val="22"/>
        </w:rPr>
      </w:pPr>
      <w:r w:rsidRPr="00F34480">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Default="00F34480" w:rsidP="00FD02D9">
      <w:pPr>
        <w:widowControl w:val="0"/>
        <w:autoSpaceDE w:val="0"/>
        <w:autoSpaceDN w:val="0"/>
        <w:adjustRightInd w:val="0"/>
        <w:ind w:right="11"/>
        <w:jc w:val="both"/>
        <w:rPr>
          <w:rFonts w:cs="Tahoma"/>
          <w:sz w:val="22"/>
          <w:szCs w:val="22"/>
        </w:rPr>
      </w:pPr>
      <w:r>
        <w:rPr>
          <w:spacing w:val="1"/>
          <w:sz w:val="22"/>
          <w:szCs w:val="22"/>
        </w:rPr>
        <w:t>2.18</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9A48AC" w:rsidRPr="00FD02D9" w:rsidRDefault="009A48AC" w:rsidP="00FD02D9">
      <w:pPr>
        <w:widowControl w:val="0"/>
        <w:autoSpaceDE w:val="0"/>
        <w:autoSpaceDN w:val="0"/>
        <w:adjustRightInd w:val="0"/>
        <w:ind w:right="11"/>
        <w:jc w:val="both"/>
        <w:rPr>
          <w:rFonts w:eastAsia="Times New Roman" w:cs="Times New Roman"/>
          <w:spacing w:val="1"/>
          <w:sz w:val="22"/>
          <w:szCs w:val="22"/>
          <w:lang w:eastAsia="ar-SA"/>
        </w:rPr>
      </w:pP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Pr>
          <w:sz w:val="22"/>
          <w:szCs w:val="22"/>
        </w:rPr>
        <w:t>roboty budowlane</w:t>
      </w:r>
    </w:p>
    <w:p w:rsidR="009542A4" w:rsidRPr="00BB6639" w:rsidRDefault="009542A4" w:rsidP="009542A4">
      <w:pPr>
        <w:tabs>
          <w:tab w:val="left" w:pos="7080"/>
        </w:tabs>
        <w:autoSpaceDE w:val="0"/>
        <w:jc w:val="both"/>
        <w:rPr>
          <w:sz w:val="22"/>
          <w:szCs w:val="22"/>
        </w:rPr>
      </w:pPr>
      <w:r>
        <w:rPr>
          <w:sz w:val="22"/>
          <w:szCs w:val="22"/>
        </w:rPr>
        <w:t xml:space="preserve">     </w:t>
      </w:r>
      <w:r w:rsidR="00FD02D9">
        <w:rPr>
          <w:sz w:val="22"/>
          <w:szCs w:val="22"/>
        </w:rPr>
        <w:t xml:space="preserve">       </w:t>
      </w:r>
      <w:r w:rsidR="00436ACE">
        <w:rPr>
          <w:sz w:val="22"/>
          <w:szCs w:val="22"/>
        </w:rPr>
        <w:t>451112</w:t>
      </w:r>
      <w:r>
        <w:rPr>
          <w:sz w:val="22"/>
          <w:szCs w:val="22"/>
        </w:rPr>
        <w:t>00-0 -</w:t>
      </w:r>
      <w:r w:rsidRPr="00BB6639">
        <w:rPr>
          <w:sz w:val="22"/>
          <w:szCs w:val="22"/>
        </w:rPr>
        <w:t xml:space="preserve"> </w:t>
      </w:r>
      <w:r>
        <w:rPr>
          <w:sz w:val="22"/>
          <w:szCs w:val="22"/>
        </w:rPr>
        <w:t xml:space="preserve"> </w:t>
      </w:r>
      <w:r w:rsidRPr="00BB6639">
        <w:rPr>
          <w:sz w:val="22"/>
          <w:szCs w:val="22"/>
        </w:rPr>
        <w:t>przygotowanie terenu pod budowę, roboty ziemne</w:t>
      </w:r>
    </w:p>
    <w:p w:rsidR="00A767CA" w:rsidRDefault="009542A4" w:rsidP="009542A4">
      <w:pPr>
        <w:jc w:val="both"/>
        <w:rPr>
          <w:rFonts w:eastAsia="Arial" w:cs="Arial"/>
          <w:color w:val="000000"/>
          <w:sz w:val="22"/>
          <w:szCs w:val="22"/>
        </w:rPr>
      </w:pPr>
      <w:r>
        <w:rPr>
          <w:rFonts w:cs="Tahoma"/>
          <w:sz w:val="22"/>
          <w:szCs w:val="22"/>
        </w:rPr>
        <w:t xml:space="preserve">    </w:t>
      </w:r>
      <w:r w:rsidRPr="00BB6639">
        <w:rPr>
          <w:rFonts w:cs="Tahoma"/>
          <w:sz w:val="22"/>
          <w:szCs w:val="22"/>
        </w:rPr>
        <w:t xml:space="preserve"> </w:t>
      </w:r>
      <w:r w:rsidR="00FD02D9">
        <w:rPr>
          <w:rFonts w:cs="Tahoma"/>
          <w:sz w:val="22"/>
          <w:szCs w:val="22"/>
        </w:rPr>
        <w:t xml:space="preserve">       </w:t>
      </w:r>
      <w:r w:rsidR="00A767CA">
        <w:rPr>
          <w:rFonts w:eastAsia="Arial" w:cs="Arial"/>
          <w:color w:val="000000"/>
          <w:sz w:val="22"/>
          <w:szCs w:val="22"/>
        </w:rPr>
        <w:t>45231300</w:t>
      </w:r>
      <w:r w:rsidR="009D06D4">
        <w:rPr>
          <w:rFonts w:eastAsia="Arial" w:cs="Arial"/>
          <w:color w:val="000000"/>
          <w:sz w:val="22"/>
          <w:szCs w:val="22"/>
        </w:rPr>
        <w:t>-</w:t>
      </w:r>
      <w:r w:rsidR="00A767CA">
        <w:rPr>
          <w:rFonts w:eastAsia="Arial" w:cs="Arial"/>
          <w:color w:val="000000"/>
          <w:sz w:val="22"/>
          <w:szCs w:val="22"/>
        </w:rPr>
        <w:t xml:space="preserve">8 </w:t>
      </w:r>
      <w:r w:rsidR="009D06D4">
        <w:rPr>
          <w:rFonts w:eastAsia="Arial" w:cs="Arial"/>
          <w:color w:val="000000"/>
          <w:sz w:val="22"/>
          <w:szCs w:val="22"/>
        </w:rPr>
        <w:t xml:space="preserve">  </w:t>
      </w:r>
      <w:r w:rsidR="00A767CA">
        <w:rPr>
          <w:rFonts w:eastAsia="Arial" w:cs="Arial"/>
          <w:color w:val="000000"/>
          <w:sz w:val="22"/>
          <w:szCs w:val="22"/>
        </w:rPr>
        <w:t xml:space="preserve"> </w:t>
      </w:r>
      <w:r w:rsidR="00436ACE">
        <w:rPr>
          <w:rFonts w:eastAsia="Arial" w:cs="Arial"/>
          <w:color w:val="000000"/>
          <w:sz w:val="22"/>
          <w:szCs w:val="22"/>
        </w:rPr>
        <w:t>roboty</w:t>
      </w:r>
      <w:r w:rsidR="00A767CA">
        <w:rPr>
          <w:rFonts w:eastAsia="Arial" w:cs="Arial"/>
          <w:color w:val="000000"/>
          <w:sz w:val="22"/>
          <w:szCs w:val="22"/>
        </w:rPr>
        <w:t xml:space="preserve"> budowlane </w:t>
      </w:r>
      <w:r w:rsidR="00436ACE">
        <w:rPr>
          <w:rFonts w:eastAsia="Arial" w:cs="Arial"/>
          <w:color w:val="000000"/>
          <w:sz w:val="22"/>
          <w:szCs w:val="22"/>
        </w:rPr>
        <w:t xml:space="preserve"> w zakresie budowy</w:t>
      </w:r>
      <w:r w:rsidR="00A767CA">
        <w:rPr>
          <w:rFonts w:eastAsia="Arial" w:cs="Arial"/>
          <w:color w:val="000000"/>
          <w:sz w:val="22"/>
          <w:szCs w:val="22"/>
        </w:rPr>
        <w:t xml:space="preserve"> wodociągów i </w:t>
      </w:r>
      <w:r w:rsidR="00436ACE">
        <w:rPr>
          <w:rFonts w:eastAsia="Arial" w:cs="Arial"/>
          <w:color w:val="000000"/>
          <w:sz w:val="22"/>
          <w:szCs w:val="22"/>
        </w:rPr>
        <w:t xml:space="preserve"> rurociągów do </w:t>
      </w:r>
    </w:p>
    <w:p w:rsidR="009D06D4" w:rsidRDefault="00A767CA" w:rsidP="009542A4">
      <w:pPr>
        <w:jc w:val="both"/>
        <w:rPr>
          <w:rFonts w:eastAsia="Arial" w:cs="Arial"/>
          <w:color w:val="000000"/>
          <w:sz w:val="22"/>
          <w:szCs w:val="22"/>
        </w:rPr>
      </w:pPr>
      <w:r>
        <w:rPr>
          <w:rFonts w:eastAsia="Arial" w:cs="Arial"/>
          <w:color w:val="000000"/>
          <w:sz w:val="22"/>
          <w:szCs w:val="22"/>
        </w:rPr>
        <w:t xml:space="preserve">                                   </w:t>
      </w:r>
      <w:r w:rsidR="00436ACE">
        <w:rPr>
          <w:rFonts w:eastAsia="Arial" w:cs="Arial"/>
          <w:color w:val="000000"/>
          <w:sz w:val="22"/>
          <w:szCs w:val="22"/>
        </w:rPr>
        <w:t>odprowadzenia ścieków,</w:t>
      </w:r>
      <w:r w:rsidR="009542A4" w:rsidRPr="00BB6639">
        <w:rPr>
          <w:rFonts w:eastAsia="Arial" w:cs="Arial"/>
          <w:color w:val="000000"/>
          <w:sz w:val="22"/>
          <w:szCs w:val="22"/>
        </w:rPr>
        <w:t xml:space="preserve"> </w:t>
      </w:r>
    </w:p>
    <w:p w:rsidR="00436ACE" w:rsidRPr="009A48AC" w:rsidRDefault="009542A4" w:rsidP="00436ACE">
      <w:pPr>
        <w:tabs>
          <w:tab w:val="left" w:pos="7080"/>
        </w:tabs>
        <w:autoSpaceDE w:val="0"/>
        <w:jc w:val="both"/>
        <w:rPr>
          <w:rFonts w:eastAsia="Arial" w:cs="Arial"/>
          <w:bCs/>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lastRenderedPageBreak/>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w:t>
      </w:r>
      <w:r w:rsidR="00F94BB6">
        <w:rPr>
          <w:rFonts w:eastAsia="Times New Roman" w:cs="Times New Roman"/>
          <w:spacing w:val="1"/>
          <w:sz w:val="22"/>
          <w:szCs w:val="22"/>
          <w:lang w:eastAsia="ar-SA"/>
        </w:rPr>
        <w:t>ówie</w:t>
      </w:r>
      <w:r w:rsidR="00B70111">
        <w:rPr>
          <w:rFonts w:eastAsia="Times New Roman" w:cs="Times New Roman"/>
          <w:spacing w:val="1"/>
          <w:sz w:val="22"/>
          <w:szCs w:val="22"/>
          <w:lang w:eastAsia="ar-SA"/>
        </w:rPr>
        <w:t>nia: Gmina Wiązownica, m.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B70111">
        <w:rPr>
          <w:rFonts w:cs="Tahoma"/>
          <w:b/>
          <w:sz w:val="22"/>
          <w:szCs w:val="22"/>
        </w:rPr>
        <w:t>2</w:t>
      </w:r>
      <w:r w:rsidR="0096283A">
        <w:rPr>
          <w:rFonts w:cs="Tahoma"/>
          <w:b/>
          <w:sz w:val="22"/>
          <w:szCs w:val="22"/>
        </w:rPr>
        <w:t>0 grudnia</w:t>
      </w:r>
      <w:r w:rsidR="00F94BB6">
        <w:rPr>
          <w:rFonts w:cs="Tahoma"/>
          <w:b/>
          <w:sz w:val="22"/>
          <w:szCs w:val="22"/>
        </w:rPr>
        <w:t xml:space="preserve"> 2020</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4E5D76" w:rsidRDefault="004E5D76" w:rsidP="004E5D76">
      <w:pPr>
        <w:widowControl w:val="0"/>
        <w:suppressAutoHyphens/>
        <w:autoSpaceDE w:val="0"/>
        <w:autoSpaceDN w:val="0"/>
        <w:adjustRightInd w:val="0"/>
        <w:spacing w:line="240" w:lineRule="auto"/>
        <w:ind w:left="2124" w:right="12" w:firstLine="3"/>
        <w:contextualSpacing/>
        <w:jc w:val="both"/>
        <w:rPr>
          <w:snapToGrid w:val="0"/>
          <w:sz w:val="22"/>
          <w:szCs w:val="22"/>
          <w:lang w:eastAsia="ar-SA"/>
        </w:rPr>
      </w:pPr>
      <w:r>
        <w:rPr>
          <w:snapToGrid w:val="0"/>
          <w:sz w:val="22"/>
          <w:szCs w:val="22"/>
          <w:lang w:eastAsia="ar-SA"/>
        </w:rPr>
        <w:t>Zamawiający nie stawia szczegółowego warunku w tym zakresie.</w:t>
      </w:r>
    </w:p>
    <w:p w:rsidR="004E5D76" w:rsidRPr="00DA3073" w:rsidRDefault="004E5D76" w:rsidP="004E5D76">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697180" w:rsidRPr="00591286" w:rsidRDefault="00591286" w:rsidP="004E5D76">
      <w:pPr>
        <w:ind w:left="2552" w:hanging="425"/>
        <w:jc w:val="both"/>
        <w:rPr>
          <w:rFonts w:cs="Tahoma"/>
          <w:sz w:val="22"/>
          <w:szCs w:val="22"/>
        </w:rPr>
      </w:pPr>
      <w:r>
        <w:rPr>
          <w:sz w:val="22"/>
          <w:szCs w:val="22"/>
        </w:rPr>
        <w:t xml:space="preserve">1)  </w:t>
      </w:r>
      <w:r w:rsidR="004E5D76">
        <w:rPr>
          <w:sz w:val="22"/>
          <w:szCs w:val="22"/>
        </w:rPr>
        <w:tab/>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w:t>
      </w:r>
      <w:r w:rsidR="004E5D76">
        <w:rPr>
          <w:sz w:val="22"/>
          <w:szCs w:val="22"/>
        </w:rPr>
        <w:t> </w:t>
      </w:r>
      <w:r w:rsidR="004A6B64" w:rsidRPr="00DA3073">
        <w:rPr>
          <w:sz w:val="22"/>
          <w:szCs w:val="22"/>
        </w:rPr>
        <w:t xml:space="preserve">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223730">
        <w:rPr>
          <w:rFonts w:cs="Tahoma"/>
          <w:sz w:val="22"/>
          <w:szCs w:val="22"/>
        </w:rPr>
        <w:t xml:space="preserve">, rozbudowie lub przebudowie sieci wodociągowej </w:t>
      </w:r>
      <w:r w:rsidR="008D5FD3">
        <w:rPr>
          <w:rFonts w:cs="Tahoma"/>
          <w:sz w:val="22"/>
          <w:szCs w:val="22"/>
        </w:rPr>
        <w:t xml:space="preserve">lub sieci  kanalizacyjnej </w:t>
      </w:r>
      <w:r w:rsidR="00B96E27" w:rsidRPr="00B932E8">
        <w:rPr>
          <w:rFonts w:cs="Tahoma"/>
          <w:sz w:val="22"/>
          <w:szCs w:val="22"/>
        </w:rPr>
        <w:t>o</w:t>
      </w:r>
      <w:r w:rsidR="008D5FD3">
        <w:rPr>
          <w:rFonts w:cs="Tahoma"/>
          <w:sz w:val="22"/>
          <w:szCs w:val="22"/>
        </w:rPr>
        <w:t> </w:t>
      </w:r>
      <w:r w:rsidR="00B96E27" w:rsidRPr="00B932E8">
        <w:rPr>
          <w:rFonts w:cs="Tahoma"/>
          <w:sz w:val="22"/>
          <w:szCs w:val="22"/>
        </w:rPr>
        <w:t xml:space="preserve">wartości co </w:t>
      </w:r>
      <w:r w:rsidR="004E5D76">
        <w:rPr>
          <w:rFonts w:cs="Tahoma"/>
          <w:sz w:val="22"/>
          <w:szCs w:val="22"/>
        </w:rPr>
        <w:t xml:space="preserve">najmniej </w:t>
      </w:r>
      <w:r w:rsidR="00823A76">
        <w:rPr>
          <w:rFonts w:cs="Tahoma"/>
          <w:sz w:val="22"/>
          <w:szCs w:val="22"/>
        </w:rPr>
        <w:t>6</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r w:rsidR="00066518">
        <w:rPr>
          <w:rFonts w:cs="Arial"/>
          <w:sz w:val="22"/>
          <w:szCs w:val="22"/>
        </w:rPr>
        <w:t>,</w:t>
      </w:r>
    </w:p>
    <w:p w:rsidR="00533D42" w:rsidRPr="0089542A" w:rsidRDefault="005F3969" w:rsidP="005F3969">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00066518">
        <w:rPr>
          <w:rFonts w:cs="Arial"/>
          <w:sz w:val="22"/>
          <w:szCs w:val="22"/>
        </w:rPr>
        <w:t>niż w w/w okresie,</w:t>
      </w: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66518">
      <w:pPr>
        <w:spacing w:line="240" w:lineRule="auto"/>
        <w:ind w:left="2552" w:hanging="709"/>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budową i robotami  budowlanymi o specjalności </w:t>
      </w:r>
      <w:r w:rsidR="00591286" w:rsidRPr="00591286">
        <w:rPr>
          <w:sz w:val="22"/>
          <w:szCs w:val="22"/>
        </w:rPr>
        <w:t>instalacyjne</w:t>
      </w:r>
      <w:r w:rsidR="00823A76">
        <w:rPr>
          <w:sz w:val="22"/>
          <w:szCs w:val="22"/>
        </w:rPr>
        <w:t xml:space="preserve">j bez ograniczeń </w:t>
      </w:r>
      <w:r w:rsidR="00591286" w:rsidRPr="00591286">
        <w:rPr>
          <w:sz w:val="22"/>
          <w:szCs w:val="22"/>
        </w:rPr>
        <w:t xml:space="preserve"> w</w:t>
      </w:r>
      <w:r w:rsidR="009F63F3">
        <w:rPr>
          <w:sz w:val="22"/>
          <w:szCs w:val="22"/>
        </w:rPr>
        <w:t> </w:t>
      </w:r>
      <w:r w:rsidR="00591286" w:rsidRPr="00591286">
        <w:rPr>
          <w:sz w:val="22"/>
          <w:szCs w:val="22"/>
        </w:rPr>
        <w:t xml:space="preserve">zakresie </w:t>
      </w:r>
      <w:r w:rsidR="00823A76">
        <w:rPr>
          <w:sz w:val="22"/>
          <w:szCs w:val="22"/>
        </w:rPr>
        <w:t>sieci, instalacji</w:t>
      </w:r>
      <w:r w:rsidR="00591286" w:rsidRPr="00591286">
        <w:rPr>
          <w:sz w:val="22"/>
          <w:szCs w:val="22"/>
        </w:rPr>
        <w:t xml:space="preserve"> </w:t>
      </w:r>
      <w:r w:rsidR="00823A76">
        <w:rPr>
          <w:sz w:val="22"/>
          <w:szCs w:val="22"/>
        </w:rPr>
        <w:t xml:space="preserve">i urządzeń cieplnych, wentylacyjnych, gazowych, wodociągowych i kanalizacyjnych </w:t>
      </w:r>
      <w:r w:rsidR="00591286" w:rsidRPr="00591286">
        <w:rPr>
          <w:sz w:val="22"/>
          <w:szCs w:val="22"/>
        </w:rPr>
        <w:t xml:space="preserve">lub </w:t>
      </w:r>
      <w:r w:rsidR="00591286" w:rsidRPr="00591286">
        <w:rPr>
          <w:sz w:val="22"/>
          <w:szCs w:val="22"/>
        </w:rPr>
        <w:lastRenderedPageBreak/>
        <w:t>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F55CB1" w:rsidRPr="009C1690" w:rsidRDefault="00F55CB1" w:rsidP="00F55CB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96283A">
        <w:rPr>
          <w:sz w:val="22"/>
          <w:szCs w:val="22"/>
        </w:rPr>
        <w:t> </w:t>
      </w:r>
      <w:r w:rsidRPr="0024168B">
        <w:rPr>
          <w:sz w:val="22"/>
          <w:szCs w:val="22"/>
        </w:rPr>
        <w:t>budownictwie i zachowała uprawnienia do pełnienia tych funkcji w</w:t>
      </w:r>
      <w:r w:rsidR="0096283A">
        <w:rPr>
          <w:sz w:val="22"/>
          <w:szCs w:val="22"/>
        </w:rPr>
        <w:t> </w:t>
      </w:r>
      <w:r w:rsidRPr="0024168B">
        <w:rPr>
          <w:sz w:val="22"/>
          <w:szCs w:val="22"/>
        </w:rPr>
        <w:t>dotychczasowym zakresie.</w:t>
      </w:r>
    </w:p>
    <w:p w:rsidR="00FA68BC" w:rsidRDefault="00533D42" w:rsidP="002A14D2">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w:t>
      </w:r>
      <w:r w:rsidR="00725EA8">
        <w:rPr>
          <w:sz w:val="22"/>
          <w:szCs w:val="22"/>
        </w:rPr>
        <w:t xml:space="preserve">rany do realizacji zamówienia </w:t>
      </w:r>
      <w:r w:rsidR="00FA68BC" w:rsidRPr="0024168B">
        <w:rPr>
          <w:sz w:val="22"/>
          <w:szCs w:val="22"/>
        </w:rPr>
        <w:t>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725EA8" w:rsidRPr="00B83501">
        <w:rPr>
          <w:sz w:val="22"/>
          <w:szCs w:val="22"/>
        </w:rPr>
        <w:t>Z</w:t>
      </w:r>
      <w:r w:rsidR="00FA68BC" w:rsidRPr="00B83501">
        <w:rPr>
          <w:sz w:val="22"/>
          <w:szCs w:val="22"/>
        </w:rPr>
        <w:t>awodowego</w:t>
      </w:r>
      <w:r w:rsidR="00725EA8">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065E">
        <w:rPr>
          <w:sz w:val="22"/>
          <w:szCs w:val="22"/>
        </w:rPr>
        <w:t>a 7 lipca 1994 r. (t.j. Dz. U. z 2019 r. poz. 1186</w:t>
      </w:r>
      <w:r w:rsidR="00085B80">
        <w:rPr>
          <w:sz w:val="22"/>
          <w:szCs w:val="22"/>
        </w:rPr>
        <w:t xml:space="preserve">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w:t>
      </w:r>
      <w:r w:rsidR="00377DAC">
        <w:rPr>
          <w:sz w:val="22"/>
          <w:szCs w:val="22"/>
        </w:rPr>
        <w:t> </w:t>
      </w:r>
      <w:r w:rsidRPr="00174098">
        <w:rPr>
          <w:sz w:val="22"/>
          <w:szCs w:val="22"/>
        </w:rPr>
        <w:t>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w:t>
      </w:r>
      <w:r w:rsidR="00377DAC">
        <w:rPr>
          <w:sz w:val="22"/>
          <w:szCs w:val="22"/>
        </w:rPr>
        <w:t> </w:t>
      </w:r>
      <w:r w:rsidRPr="00174098">
        <w:rPr>
          <w:sz w:val="22"/>
          <w:szCs w:val="22"/>
        </w:rPr>
        <w:t>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 xml:space="preserve">przewidzianym </w:t>
      </w:r>
      <w:r w:rsidR="00377DAC">
        <w:rPr>
          <w:sz w:val="22"/>
          <w:szCs w:val="22"/>
        </w:rPr>
        <w:t> </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w:t>
      </w:r>
      <w:r w:rsidRPr="00CB4111">
        <w:rPr>
          <w:sz w:val="22"/>
          <w:szCs w:val="22"/>
        </w:rPr>
        <w:lastRenderedPageBreak/>
        <w:t>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96283A">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t>
      </w:r>
      <w:r w:rsidRPr="00DA3073">
        <w:rPr>
          <w:rFonts w:eastAsia="Times New Roman" w:cs="Times New Roman"/>
          <w:spacing w:val="1"/>
          <w:sz w:val="22"/>
          <w:szCs w:val="22"/>
          <w:lang w:eastAsia="ar-SA"/>
        </w:rPr>
        <w:lastRenderedPageBreak/>
        <w:t>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C70195" w:rsidRDefault="00724F94" w:rsidP="00C7019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w:t>
      </w:r>
      <w:r w:rsidR="00377DAC">
        <w:rPr>
          <w:rFonts w:eastAsia="Times New Roman" w:cs="Times New Roman"/>
          <w:sz w:val="22"/>
          <w:szCs w:val="22"/>
          <w:lang w:eastAsia="ar-SA"/>
        </w:rPr>
        <w:t> </w:t>
      </w:r>
      <w:r w:rsidRPr="00DA3073">
        <w:rPr>
          <w:rFonts w:eastAsia="Times New Roman" w:cs="Times New Roman"/>
          <w:sz w:val="22"/>
          <w:szCs w:val="22"/>
          <w:lang w:eastAsia="ar-SA"/>
        </w:rPr>
        <w:t>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 xml:space="preserve">i braku podstaw do wykluczenia z postępowania składa każdy z wykonawców </w:t>
      </w:r>
      <w:r w:rsidRPr="00DA3073">
        <w:rPr>
          <w:rFonts w:eastAsia="Times New Roman" w:cs="Times New Roman"/>
          <w:sz w:val="22"/>
          <w:szCs w:val="22"/>
          <w:lang w:eastAsia="ar-SA"/>
        </w:rPr>
        <w:lastRenderedPageBreak/>
        <w:t>wspólnie ubiegających się o zamówienie,</w:t>
      </w:r>
    </w:p>
    <w:p w:rsidR="000361C4"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70195" w:rsidRPr="00C70195" w:rsidRDefault="00C70195" w:rsidP="00C70195">
      <w:pPr>
        <w:pStyle w:val="Akapitzlist"/>
        <w:widowControl w:val="0"/>
        <w:numPr>
          <w:ilvl w:val="1"/>
          <w:numId w:val="47"/>
        </w:numPr>
        <w:autoSpaceDE w:val="0"/>
        <w:autoSpaceDN w:val="0"/>
        <w:adjustRightInd w:val="0"/>
        <w:ind w:right="12"/>
        <w:jc w:val="both"/>
        <w:rPr>
          <w:rFonts w:ascii="CG Omega" w:hAnsi="CG Omega"/>
          <w:b w:val="0"/>
          <w:sz w:val="22"/>
          <w:szCs w:val="22"/>
        </w:rPr>
      </w:pPr>
      <w:r w:rsidRPr="00C70195">
        <w:rPr>
          <w:rFonts w:ascii="CG Omega" w:hAnsi="CG Omega"/>
          <w:b w:val="0"/>
          <w:sz w:val="28"/>
          <w:szCs w:val="28"/>
        </w:rPr>
        <w:t xml:space="preserve">  </w:t>
      </w:r>
      <w:r w:rsidRPr="00C70195">
        <w:rPr>
          <w:rFonts w:ascii="CG Omega" w:hAnsi="CG Omega"/>
          <w:b w:val="0"/>
          <w:sz w:val="22"/>
          <w:szCs w:val="22"/>
        </w:rPr>
        <w:t xml:space="preserve">Kosztorys  ofertowy  składa   wyłącznie  wybrany   w   postępowaniu  Wykonawca,  przed </w:t>
      </w:r>
    </w:p>
    <w:p w:rsidR="00C70195" w:rsidRPr="00C70195" w:rsidRDefault="00C70195" w:rsidP="00C70195">
      <w:pPr>
        <w:widowControl w:val="0"/>
        <w:autoSpaceDE w:val="0"/>
        <w:autoSpaceDN w:val="0"/>
        <w:adjustRightInd w:val="0"/>
        <w:ind w:right="12"/>
        <w:jc w:val="both"/>
        <w:rPr>
          <w:sz w:val="22"/>
          <w:szCs w:val="22"/>
        </w:rPr>
      </w:pPr>
      <w:r w:rsidRPr="00C70195">
        <w:rPr>
          <w:sz w:val="22"/>
          <w:szCs w:val="22"/>
        </w:rPr>
        <w:t xml:space="preserve">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w:t>
      </w:r>
      <w:r w:rsidR="00377DAC">
        <w:rPr>
          <w:rFonts w:ascii="CG Omega" w:hAnsi="CG Omega"/>
          <w:b w:val="0"/>
          <w:sz w:val="22"/>
          <w:szCs w:val="22"/>
        </w:rPr>
        <w:t> </w:t>
      </w:r>
      <w:r w:rsidRPr="00DA3073">
        <w:rPr>
          <w:rFonts w:ascii="CG Omega" w:hAnsi="CG Omega"/>
          <w:b w:val="0"/>
          <w:sz w:val="22"/>
          <w:szCs w:val="22"/>
        </w:rPr>
        <w:t xml:space="preserve">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377DAC">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377DAC">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DA3073">
        <w:rPr>
          <w:rFonts w:eastAsia="Times New Roman" w:cs="Times New Roman"/>
          <w:sz w:val="22"/>
          <w:szCs w:val="22"/>
          <w:lang w:eastAsia="ar-SA"/>
        </w:rPr>
        <w:lastRenderedPageBreak/>
        <w:t xml:space="preserve">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2763A6">
      <w:pPr>
        <w:widowControl w:val="0"/>
        <w:numPr>
          <w:ilvl w:val="0"/>
          <w:numId w:val="15"/>
        </w:numPr>
        <w:suppressAutoHyphens/>
        <w:autoSpaceDE w:val="0"/>
        <w:autoSpaceDN w:val="0"/>
        <w:adjustRightInd w:val="0"/>
        <w:spacing w:before="240" w:after="120" w:line="240" w:lineRule="auto"/>
        <w:ind w:left="993" w:right="11" w:hanging="426"/>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2763A6" w:rsidRPr="004D33CC" w:rsidRDefault="00211650" w:rsidP="002763A6">
      <w:pPr>
        <w:widowControl w:val="0"/>
        <w:suppressAutoHyphens/>
        <w:autoSpaceDE w:val="0"/>
        <w:autoSpaceDN w:val="0"/>
        <w:adjustRightInd w:val="0"/>
        <w:spacing w:before="240" w:after="120" w:line="240" w:lineRule="auto"/>
        <w:ind w:right="11" w:firstLine="567"/>
        <w:contextualSpacing/>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2763A6">
        <w:rPr>
          <w:rFonts w:eastAsia="Times New Roman" w:cs="Times New Roman"/>
          <w:sz w:val="22"/>
          <w:szCs w:val="22"/>
          <w:lang w:eastAsia="ar-SA"/>
        </w:rPr>
        <w:t>z</w:t>
      </w:r>
      <w:r w:rsidR="002763A6" w:rsidRPr="00402F55">
        <w:rPr>
          <w:rFonts w:eastAsia="Times New Roman" w:cs="Times New Roman"/>
          <w:sz w:val="22"/>
          <w:szCs w:val="22"/>
          <w:lang w:eastAsia="ar-SA"/>
        </w:rPr>
        <w:t>amawiający nie wyznacza szczegółowego warunku w tym zakresie.</w:t>
      </w:r>
    </w:p>
    <w:p w:rsidR="006D658E" w:rsidRPr="005E197A" w:rsidRDefault="006D658E" w:rsidP="00DC58C8">
      <w:pPr>
        <w:tabs>
          <w:tab w:val="num" w:pos="709"/>
        </w:tabs>
        <w:spacing w:line="240" w:lineRule="auto"/>
        <w:ind w:left="993" w:hanging="425"/>
        <w:jc w:val="both"/>
        <w:rPr>
          <w:rFonts w:eastAsia="Times New Roman" w:cs="Times New Roman"/>
          <w:b/>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w:t>
      </w:r>
      <w:r w:rsidR="002763A6">
        <w:rPr>
          <w:rFonts w:eastAsia="Times New Roman" w:cs="Times New Roman"/>
          <w:sz w:val="22"/>
          <w:szCs w:val="22"/>
          <w:lang w:eastAsia="ar-SA"/>
        </w:rPr>
        <w:t> </w:t>
      </w:r>
      <w:r w:rsidR="00F643A7" w:rsidRPr="00833AB4">
        <w:rPr>
          <w:rFonts w:eastAsia="Times New Roman" w:cs="Times New Roman"/>
          <w:sz w:val="22"/>
          <w:szCs w:val="22"/>
          <w:lang w:eastAsia="ar-SA"/>
        </w:rPr>
        <w:t>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w:t>
      </w:r>
      <w:r w:rsidR="002763A6">
        <w:rPr>
          <w:rFonts w:eastAsia="Times New Roman" w:cs="Times New Roman"/>
          <w:sz w:val="22"/>
          <w:szCs w:val="22"/>
          <w:lang w:eastAsia="ar-SA"/>
        </w:rPr>
        <w:t> </w:t>
      </w:r>
      <w:r w:rsidR="00833AB4" w:rsidRPr="00833AB4">
        <w:rPr>
          <w:rFonts w:eastAsia="Times New Roman" w:cs="Times New Roman"/>
          <w:sz w:val="22"/>
          <w:szCs w:val="22"/>
          <w:lang w:eastAsia="ar-SA"/>
        </w:rPr>
        <w:t xml:space="preserve">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lastRenderedPageBreak/>
        <w:t>wykazu osób skierowanych przez Wykonawcę do realizacji robót, w szczególności odpowiedzialnych za kierowanie budową i robotami budowlanymi, wraz z</w:t>
      </w:r>
      <w:r w:rsidR="002763A6">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sidR="002763A6">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świadczenia, o których mowa w Rozporządzeniu Ministra Rozwoju z dnia 26 lipca 2016 r. w sprawie rodzajów dokumentów, jakich może żądać zamawiający od wykonawcy w postępowaniu o udzielenie zamówienia, dotyczące wykonawcy i</w:t>
      </w:r>
      <w:r w:rsidR="002763A6">
        <w:rPr>
          <w:rFonts w:eastAsia="Times New Roman" w:cs="Times New Roman"/>
          <w:sz w:val="22"/>
          <w:szCs w:val="22"/>
          <w:lang w:eastAsia="ar-SA"/>
        </w:rPr>
        <w:t> </w:t>
      </w:r>
      <w:r w:rsidR="00F643A7" w:rsidRPr="00DA3073">
        <w:rPr>
          <w:rFonts w:eastAsia="Times New Roman" w:cs="Times New Roman"/>
          <w:sz w:val="22"/>
          <w:szCs w:val="22"/>
          <w:lang w:eastAsia="ar-SA"/>
        </w:rPr>
        <w:t xml:space="preserve">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o których mowa w Rozporządzeniu Ministra Rozwoju z dnia 26 lipca 2016 r. w sprawie rodzajów dokumentów, jakich może żądać Zamawiający od Wykonawcy w postępowaniu o udzielenie zamówienia, inne niż oświadczenia, o</w:t>
      </w:r>
      <w:r w:rsidR="002763A6">
        <w:rPr>
          <w:rFonts w:eastAsia="Times New Roman" w:cs="Times New Roman"/>
          <w:sz w:val="22"/>
          <w:szCs w:val="22"/>
          <w:lang w:eastAsia="ar-SA"/>
        </w:rPr>
        <w:t> </w:t>
      </w:r>
      <w:r w:rsidR="00F643A7" w:rsidRPr="00DA3073">
        <w:rPr>
          <w:rFonts w:eastAsia="Times New Roman" w:cs="Times New Roman"/>
          <w:sz w:val="22"/>
          <w:szCs w:val="22"/>
          <w:lang w:eastAsia="ar-SA"/>
        </w:rPr>
        <w:t xml:space="preserve">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2763A6">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w:t>
      </w:r>
      <w:r w:rsidRPr="00DA3073">
        <w:rPr>
          <w:rFonts w:eastAsia="Times New Roman" w:cs="Times New Roman"/>
          <w:sz w:val="22"/>
          <w:szCs w:val="22"/>
          <w:lang w:eastAsia="ar-SA"/>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F55CB1">
        <w:rPr>
          <w:rFonts w:eastAsia="Times New Roman" w:cs="Times New Roman"/>
          <w:sz w:val="22"/>
          <w:szCs w:val="22"/>
          <w:lang w:eastAsia="ar-SA"/>
        </w:rPr>
        <w:t xml:space="preserve">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9A48AC" w:rsidRDefault="009A48AC" w:rsidP="000361C4">
      <w:pPr>
        <w:spacing w:line="240" w:lineRule="auto"/>
        <w:jc w:val="center"/>
        <w:rPr>
          <w:b/>
          <w:smallCaps/>
          <w:sz w:val="24"/>
          <w:szCs w:val="24"/>
          <w:lang w:eastAsia="ar-SA"/>
        </w:rPr>
      </w:pPr>
      <w:bookmarkStart w:id="12" w:name="_Toc473569716"/>
      <w:bookmarkStart w:id="13" w:name="_Toc477947264"/>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F55CB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9A48AC">
        <w:rPr>
          <w:rFonts w:eastAsia="Times New Roman" w:cs="Times New Roman"/>
          <w:sz w:val="22"/>
          <w:szCs w:val="22"/>
          <w:lang w:eastAsia="ar-SA"/>
        </w:rPr>
        <w:t>IZ.271.10</w:t>
      </w:r>
      <w:r w:rsidR="0008065E">
        <w:rPr>
          <w:rFonts w:eastAsia="Times New Roman" w:cs="Times New Roman"/>
          <w:sz w:val="22"/>
          <w:szCs w:val="22"/>
          <w:lang w:eastAsia="ar-SA"/>
        </w:rPr>
        <w:t>.2020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w:t>
      </w:r>
      <w:r w:rsidRPr="00402F55">
        <w:rPr>
          <w:rFonts w:eastAsia="Times New Roman" w:cs="Times New Roman"/>
          <w:sz w:val="22"/>
          <w:szCs w:val="22"/>
          <w:lang w:eastAsia="ar-SA"/>
        </w:rPr>
        <w:lastRenderedPageBreak/>
        <w:t>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9A48AC">
        <w:rPr>
          <w:rFonts w:cs="Tahoma"/>
          <w:b/>
          <w:sz w:val="22"/>
          <w:szCs w:val="22"/>
        </w:rPr>
        <w:t>1</w:t>
      </w:r>
      <w:r w:rsidR="009476E4" w:rsidRPr="009476E4">
        <w:rPr>
          <w:rFonts w:cs="Tahoma"/>
          <w:b/>
          <w:sz w:val="22"/>
          <w:szCs w:val="22"/>
        </w:rPr>
        <w:t>0 000 zł.</w:t>
      </w:r>
      <w:r w:rsidR="009A48AC">
        <w:rPr>
          <w:rFonts w:cs="Tahoma"/>
          <w:sz w:val="22"/>
          <w:szCs w:val="22"/>
        </w:rPr>
        <w:t xml:space="preserve"> (słownie: dziesięć</w:t>
      </w:r>
      <w:r w:rsidR="0008065E">
        <w:rPr>
          <w:rFonts w:cs="Tahoma"/>
          <w:sz w:val="22"/>
          <w:szCs w:val="22"/>
        </w:rPr>
        <w:t xml:space="preserve"> </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w:t>
      </w:r>
      <w:r w:rsidR="009A48AC">
        <w:rPr>
          <w:rFonts w:eastAsia="Times New Roman" w:cs="Times New Roman"/>
          <w:sz w:val="22"/>
          <w:szCs w:val="22"/>
          <w:lang w:eastAsia="ar-SA"/>
        </w:rPr>
        <w:t xml:space="preserve">a 29 stycznia 2004 roku </w:t>
      </w:r>
      <w:proofErr w:type="spellStart"/>
      <w:r w:rsidR="009A48AC">
        <w:rPr>
          <w:rFonts w:eastAsia="Times New Roman" w:cs="Times New Roman"/>
          <w:sz w:val="22"/>
          <w:szCs w:val="22"/>
          <w:lang w:eastAsia="ar-SA"/>
        </w:rPr>
        <w:t>Pzp</w:t>
      </w:r>
      <w:proofErr w:type="spellEnd"/>
      <w:r w:rsidR="0008065E">
        <w:rPr>
          <w:rFonts w:eastAsia="Times New Roman" w:cs="Times New Roman"/>
          <w:sz w:val="22"/>
          <w:szCs w:val="22"/>
          <w:lang w:eastAsia="ar-SA"/>
        </w:rPr>
        <w:t xml:space="preserve">. </w:t>
      </w:r>
      <w:r w:rsidR="003953D3">
        <w:rPr>
          <w:rFonts w:eastAsia="Times New Roman" w:cs="Times New Roman"/>
          <w:sz w:val="22"/>
          <w:szCs w:val="22"/>
          <w:lang w:eastAsia="ar-SA"/>
        </w:rPr>
        <w:t xml:space="preserve"> (t.j.</w:t>
      </w:r>
      <w:r w:rsidR="0008065E">
        <w:rPr>
          <w:rFonts w:eastAsia="Times New Roman" w:cs="Times New Roman"/>
          <w:sz w:val="22"/>
          <w:szCs w:val="22"/>
          <w:lang w:eastAsia="ar-SA"/>
        </w:rPr>
        <w:t xml:space="preserve"> Dz. U z 2019 r., poz. 1843 ze zm.</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9A48AC">
        <w:rPr>
          <w:rFonts w:eastAsia="Times New Roman" w:cs="Times New Roman"/>
          <w:b/>
          <w:sz w:val="22"/>
          <w:szCs w:val="22"/>
          <w:lang w:eastAsia="ar-SA"/>
        </w:rPr>
        <w:t>.10</w:t>
      </w:r>
      <w:r w:rsidR="008B31A2">
        <w:rPr>
          <w:rFonts w:eastAsia="Times New Roman" w:cs="Times New Roman"/>
          <w:b/>
          <w:sz w:val="22"/>
          <w:szCs w:val="22"/>
          <w:lang w:eastAsia="ar-SA"/>
        </w:rPr>
        <w:t>.</w:t>
      </w:r>
      <w:r w:rsidR="0008065E">
        <w:rPr>
          <w:rFonts w:eastAsia="Times New Roman" w:cs="Times New Roman"/>
          <w:b/>
          <w:sz w:val="22"/>
          <w:szCs w:val="22"/>
          <w:lang w:eastAsia="ar-SA"/>
        </w:rPr>
        <w:t>2020</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t>
      </w:r>
      <w:r w:rsidRPr="00402F55">
        <w:rPr>
          <w:rFonts w:eastAsia="Times New Roman" w:cs="Times New Roman"/>
          <w:spacing w:val="1"/>
          <w:sz w:val="22"/>
          <w:szCs w:val="22"/>
          <w:lang w:eastAsia="ar-SA"/>
        </w:rPr>
        <w:lastRenderedPageBreak/>
        <w:t>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9A48AC">
              <w:rPr>
                <w:rFonts w:ascii="CG Omega" w:hAnsi="CG Omega"/>
                <w:sz w:val="24"/>
                <w:szCs w:val="24"/>
                <w:lang w:eastAsia="ar-SA"/>
              </w:rPr>
              <w:t>Rozbudowa sieci wodociągowej w miejscowości Wiązownica</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A48AC">
              <w:rPr>
                <w:rFonts w:ascii="CG Omega" w:hAnsi="CG Omega"/>
                <w:sz w:val="22"/>
                <w:szCs w:val="22"/>
                <w:lang w:eastAsia="ar-SA"/>
              </w:rPr>
              <w:t>IZ.271.10</w:t>
            </w:r>
            <w:r w:rsidR="008B31A2">
              <w:rPr>
                <w:rFonts w:ascii="CG Omega" w:hAnsi="CG Omega"/>
                <w:sz w:val="22"/>
                <w:szCs w:val="22"/>
                <w:lang w:eastAsia="ar-SA"/>
              </w:rPr>
              <w:t>.</w:t>
            </w:r>
            <w:r w:rsidR="0008065E">
              <w:rPr>
                <w:rFonts w:ascii="CG Omega" w:hAnsi="CG Omega"/>
                <w:sz w:val="22"/>
                <w:szCs w:val="22"/>
                <w:lang w:eastAsia="ar-SA"/>
              </w:rPr>
              <w:t>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9A48AC">
              <w:rPr>
                <w:rFonts w:ascii="CG Omega" w:hAnsi="CG Omega"/>
                <w:bCs/>
                <w:sz w:val="22"/>
                <w:szCs w:val="22"/>
                <w:lang w:eastAsia="ar-SA"/>
              </w:rPr>
              <w:t>29.09</w:t>
            </w:r>
            <w:r w:rsidR="0008065E">
              <w:rPr>
                <w:rFonts w:ascii="CG Omega" w:hAnsi="CG Omega"/>
                <w:bCs/>
                <w:sz w:val="22"/>
                <w:szCs w:val="22"/>
                <w:lang w:eastAsia="ar-SA"/>
              </w:rPr>
              <w:t>.2020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lastRenderedPageBreak/>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9A48AC" w:rsidRPr="00D24386" w:rsidRDefault="009A48AC"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9A48AC">
        <w:rPr>
          <w:rFonts w:eastAsia="Times New Roman" w:cs="Times New Roman"/>
          <w:sz w:val="22"/>
          <w:szCs w:val="22"/>
          <w:lang w:eastAsia="ar-SA"/>
        </w:rPr>
        <w:t>29.09</w:t>
      </w:r>
      <w:r w:rsidR="0008065E">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9A48AC">
        <w:rPr>
          <w:rFonts w:eastAsia="Times New Roman" w:cs="Times New Roman"/>
          <w:sz w:val="22"/>
          <w:szCs w:val="22"/>
          <w:lang w:eastAsia="ar-SA"/>
        </w:rPr>
        <w:t>29.09</w:t>
      </w:r>
      <w:r w:rsidR="0008065E">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r w:rsidR="008B31A2">
        <w:rPr>
          <w:rFonts w:ascii="CG Omega" w:hAnsi="CG Omega" w:cs="Arial"/>
          <w:b w:val="0"/>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sidR="00F02B8B">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sidR="00F02B8B">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lastRenderedPageBreak/>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sidR="0008065E">
        <w:rPr>
          <w:sz w:val="22"/>
          <w:szCs w:val="22"/>
        </w:rPr>
        <w:t>ju (Ustawa o odpadach Dz.U. 2020 r. poz. 797 ze</w:t>
      </w:r>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A63C1B">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A63C1B">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A63C1B">
        <w:rPr>
          <w:rFonts w:cs="Arial"/>
          <w:color w:val="000000"/>
          <w:sz w:val="22"/>
          <w:szCs w:val="22"/>
        </w:rPr>
        <w:t> </w:t>
      </w:r>
      <w:r w:rsidRPr="00E702DF">
        <w:rPr>
          <w:rFonts w:cs="Arial"/>
          <w:color w:val="000000"/>
          <w:sz w:val="22"/>
          <w:szCs w:val="22"/>
        </w:rPr>
        <w:t>minimalnym wynagrodzeniu za pracę (</w:t>
      </w:r>
      <w:r w:rsidR="000C03FA">
        <w:rPr>
          <w:rFonts w:cs="Arial"/>
          <w:color w:val="000000"/>
          <w:sz w:val="22"/>
          <w:szCs w:val="22"/>
        </w:rPr>
        <w:t>t.j. Dz. U. z 2018 r.,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w:t>
      </w:r>
      <w:r w:rsidR="009A48AC">
        <w:rPr>
          <w:b/>
          <w:smallCaps/>
          <w:sz w:val="24"/>
          <w:szCs w:val="24"/>
        </w:rPr>
        <w:t> </w:t>
      </w:r>
      <w:r w:rsidRPr="00D51ED6">
        <w:rPr>
          <w:b/>
          <w:smallCaps/>
          <w:sz w:val="24"/>
          <w:szCs w:val="24"/>
        </w:rPr>
        <w:t>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lastRenderedPageBreak/>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9A48AC">
        <w:rPr>
          <w:rFonts w:ascii="CG Omega" w:hAnsi="CG Omega"/>
          <w:spacing w:val="-1"/>
          <w:sz w:val="22"/>
          <w:szCs w:val="22"/>
        </w:rPr>
        <w:t>Rozbudowa sieci wodociągowej w miejscowości Wiązownica</w:t>
      </w:r>
      <w:r w:rsidR="002A359D" w:rsidRPr="0002792A">
        <w:rPr>
          <w:rFonts w:ascii="CG Omega" w:hAnsi="CG Omega"/>
          <w:spacing w:val="-1"/>
          <w:sz w:val="22"/>
          <w:szCs w:val="22"/>
        </w:rPr>
        <w:t>-</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9A48AC">
        <w:rPr>
          <w:rFonts w:ascii="CG Omega" w:hAnsi="CG Omega"/>
          <w:spacing w:val="-1"/>
          <w:sz w:val="22"/>
          <w:szCs w:val="22"/>
        </w:rPr>
        <w:t>IZ.271.10</w:t>
      </w:r>
      <w:r w:rsidR="00A63C1B">
        <w:rPr>
          <w:rFonts w:ascii="CG Omega" w:hAnsi="CG Omega"/>
          <w:spacing w:val="-1"/>
          <w:sz w:val="22"/>
          <w:szCs w:val="22"/>
        </w:rPr>
        <w:t>.</w:t>
      </w:r>
      <w:r w:rsidR="000C03FA">
        <w:rPr>
          <w:rFonts w:ascii="CG Omega" w:hAnsi="CG Omega"/>
          <w:spacing w:val="-1"/>
          <w:sz w:val="22"/>
          <w:szCs w:val="22"/>
        </w:rPr>
        <w:t>2020</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w:t>
      </w:r>
      <w:r w:rsidR="00294D08">
        <w:rPr>
          <w:rFonts w:ascii="CG Omega" w:hAnsi="CG Omega"/>
          <w:b w:val="0"/>
          <w:spacing w:val="-1"/>
          <w:sz w:val="22"/>
          <w:szCs w:val="22"/>
        </w:rPr>
        <w:t> </w:t>
      </w:r>
      <w:r w:rsidRPr="002A359D">
        <w:rPr>
          <w:rFonts w:ascii="CG Omega" w:hAnsi="CG Omega"/>
          <w:b w:val="0"/>
          <w:spacing w:val="-1"/>
          <w:sz w:val="22"/>
          <w:szCs w:val="22"/>
        </w:rPr>
        <w:t>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B22392" w:rsidRDefault="00F643A7" w:rsidP="00B22392">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B22392" w:rsidRDefault="00B22392" w:rsidP="002A359D">
      <w:pPr>
        <w:spacing w:line="240" w:lineRule="auto"/>
        <w:jc w:val="center"/>
        <w:rPr>
          <w:b/>
          <w:smallCaps/>
          <w:sz w:val="24"/>
          <w:szCs w:val="24"/>
        </w:rPr>
      </w:pPr>
      <w:bookmarkStart w:id="56" w:name="_Toc473569758"/>
      <w:bookmarkStart w:id="57" w:name="_Toc477947280"/>
    </w:p>
    <w:p w:rsidR="00FE076F" w:rsidRPr="002A359D" w:rsidRDefault="00F643A7" w:rsidP="002A359D">
      <w:pPr>
        <w:spacing w:line="240" w:lineRule="auto"/>
        <w:jc w:val="center"/>
        <w:rPr>
          <w:b/>
          <w:smallCaps/>
          <w:sz w:val="24"/>
          <w:szCs w:val="24"/>
        </w:rPr>
      </w:pPr>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B22392" w:rsidRPr="00146631"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B22392" w:rsidRDefault="00B22392"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 xml:space="preserve">Jeżeli zmiana albo rezygnacja z podwykonawcy dotyczy podmiotu, na którego zasoby Wykonawca powołał się na zasadach określonych w art. 22a ust. 1, w celu wykazania </w:t>
      </w:r>
      <w:r w:rsidRPr="00402F55">
        <w:rPr>
          <w:rFonts w:eastAsia="Times New Roman" w:cs="Times New Roman"/>
          <w:sz w:val="22"/>
          <w:szCs w:val="22"/>
          <w:lang w:eastAsia="ar-SA"/>
        </w:rPr>
        <w:lastRenderedPageBreak/>
        <w:t>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w:t>
      </w:r>
      <w:r w:rsidR="00146631">
        <w:rPr>
          <w:rFonts w:eastAsia="Times New Roman" w:cs="Times New Roman"/>
          <w:sz w:val="22"/>
          <w:szCs w:val="22"/>
          <w:lang w:eastAsia="ar-SA"/>
        </w:rPr>
        <w:t> </w:t>
      </w:r>
      <w:r w:rsidRPr="00402F55">
        <w:rPr>
          <w:rFonts w:eastAsia="Times New Roman" w:cs="Times New Roman"/>
          <w:sz w:val="22"/>
          <w:szCs w:val="22"/>
          <w:lang w:eastAsia="ar-SA"/>
        </w:rPr>
        <w:t>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w:t>
      </w:r>
      <w:r w:rsidR="00146631">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146631">
        <w:rPr>
          <w:rFonts w:eastAsia="SimSun"/>
          <w:kern w:val="3"/>
          <w:sz w:val="22"/>
          <w:szCs w:val="22"/>
          <w:lang w:bidi="en-US"/>
        </w:rPr>
        <w:t>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w:t>
      </w:r>
      <w:r w:rsidR="00146631">
        <w:rPr>
          <w:rFonts w:eastAsia="SimSun"/>
          <w:kern w:val="3"/>
          <w:sz w:val="22"/>
          <w:szCs w:val="22"/>
          <w:lang w:bidi="en-US"/>
        </w:rPr>
        <w:t> </w:t>
      </w:r>
      <w:r w:rsidR="0039336D" w:rsidRPr="0018272E">
        <w:rPr>
          <w:rFonts w:eastAsia="SimSun"/>
          <w:kern w:val="3"/>
          <w:sz w:val="22"/>
          <w:szCs w:val="22"/>
          <w:lang w:bidi="en-US"/>
        </w:rPr>
        <w:t>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lastRenderedPageBreak/>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A76C8" w:rsidRDefault="00B22392"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643A7" w:rsidRPr="00402F55">
        <w:rPr>
          <w:rFonts w:eastAsia="Times New Roman" w:cs="Times New Roman"/>
          <w:sz w:val="22"/>
          <w:szCs w:val="22"/>
          <w:lang w:eastAsia="ar-SA"/>
        </w:rPr>
        <w:t>świadczenia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133070">
        <w:rPr>
          <w:rFonts w:eastAsia="Times New Roman" w:cs="Times New Roman"/>
          <w:sz w:val="22"/>
          <w:szCs w:val="22"/>
          <w:lang w:eastAsia="ar-SA"/>
        </w:rPr>
        <w:t>nienia zasobów – załącznik nr 9</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33070">
        <w:rPr>
          <w:rFonts w:eastAsia="Times New Roman" w:cs="Times New Roman"/>
          <w:sz w:val="22"/>
          <w:szCs w:val="22"/>
          <w:lang w:eastAsia="ar-SA"/>
        </w:rPr>
        <w:t xml:space="preserve"> – załącznik nr 10</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133070">
        <w:rPr>
          <w:rFonts w:eastAsia="Times New Roman" w:cs="Times New Roman"/>
          <w:sz w:val="22"/>
          <w:szCs w:val="22"/>
          <w:lang w:eastAsia="ar-SA"/>
        </w:rPr>
        <w:t>T  - załącznik nr 11</w:t>
      </w: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BC" w:rsidRDefault="004211BC">
      <w:pPr>
        <w:spacing w:line="240" w:lineRule="auto"/>
      </w:pPr>
      <w:r>
        <w:separator/>
      </w:r>
    </w:p>
  </w:endnote>
  <w:endnote w:type="continuationSeparator" w:id="0">
    <w:p w:rsidR="004211BC" w:rsidRDefault="00421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MT">
    <w:altName w:val="Times New Roman"/>
    <w:charset w:val="EE"/>
    <w:family w:val="roman"/>
    <w:pitch w:val="variable"/>
  </w:font>
  <w:font w:name="Songti SC">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F8" w:rsidRPr="00B577F8" w:rsidRDefault="00B577F8" w:rsidP="00B577F8">
    <w:pPr>
      <w:pStyle w:val="Stopka"/>
      <w:jc w:val="center"/>
      <w:rPr>
        <w:rFonts w:ascii="CG Omega" w:hAnsi="CG Omega"/>
        <w:sz w:val="20"/>
        <w:szCs w:val="20"/>
      </w:rPr>
    </w:pPr>
    <w:r w:rsidRPr="00B577F8">
      <w:rPr>
        <w:rFonts w:ascii="CG Omega" w:hAnsi="CG Omega"/>
        <w:sz w:val="20"/>
        <w:szCs w:val="20"/>
      </w:rPr>
      <w:t>Inwestycja finansowana przez Rządowy Fundusz Inwestycji Lokalnych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BC" w:rsidRDefault="004211BC">
      <w:pPr>
        <w:spacing w:line="240" w:lineRule="auto"/>
      </w:pPr>
      <w:r>
        <w:separator/>
      </w:r>
    </w:p>
  </w:footnote>
  <w:footnote w:type="continuationSeparator" w:id="0">
    <w:p w:rsidR="004211BC" w:rsidRDefault="00421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AC" w:rsidRDefault="009A48A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9A48AC" w:rsidRDefault="009A48A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9A48AC" w:rsidRPr="0063031F" w:rsidRDefault="009A48AC"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Rozbudowa sieci wodociągowej w miejscowości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FEB2944A"/>
    <w:name w:val="WWNum4"/>
    <w:lvl w:ilvl="0">
      <w:start w:val="1"/>
      <w:numFmt w:val="decimal"/>
      <w:lvlText w:val="%1)"/>
      <w:lvlJc w:val="left"/>
      <w:pPr>
        <w:tabs>
          <w:tab w:val="num" w:pos="66"/>
        </w:tabs>
        <w:ind w:left="786" w:hanging="360"/>
      </w:pPr>
      <w:rPr>
        <w:b w:val="0"/>
      </w:rPr>
    </w:lvl>
    <w:lvl w:ilvl="1">
      <w:start w:val="1"/>
      <w:numFmt w:val="decimal"/>
      <w:lvlText w:val="%2."/>
      <w:lvlJc w:val="left"/>
      <w:pPr>
        <w:tabs>
          <w:tab w:val="num" w:pos="1146"/>
        </w:tabs>
        <w:ind w:left="1146" w:hanging="360"/>
      </w:pPr>
    </w:lvl>
    <w:lvl w:ilvl="2">
      <w:start w:val="1"/>
      <w:numFmt w:val="decimal"/>
      <w:lvlText w:val="%2.%3."/>
      <w:lvlJc w:val="left"/>
      <w:pPr>
        <w:tabs>
          <w:tab w:val="num" w:pos="1506"/>
        </w:tabs>
        <w:ind w:left="1506" w:hanging="360"/>
      </w:pPr>
    </w:lvl>
    <w:lvl w:ilvl="3">
      <w:start w:val="1"/>
      <w:numFmt w:val="decimal"/>
      <w:lvlText w:val="%2.%3.%4."/>
      <w:lvlJc w:val="left"/>
      <w:pPr>
        <w:tabs>
          <w:tab w:val="num" w:pos="1866"/>
        </w:tabs>
        <w:ind w:left="1866" w:hanging="360"/>
      </w:pPr>
    </w:lvl>
    <w:lvl w:ilvl="4">
      <w:start w:val="1"/>
      <w:numFmt w:val="decimal"/>
      <w:lvlText w:val="%2.%3.%4.%5."/>
      <w:lvlJc w:val="left"/>
      <w:pPr>
        <w:tabs>
          <w:tab w:val="num" w:pos="2226"/>
        </w:tabs>
        <w:ind w:left="2226" w:hanging="360"/>
      </w:pPr>
    </w:lvl>
    <w:lvl w:ilvl="5">
      <w:start w:val="1"/>
      <w:numFmt w:val="decimal"/>
      <w:lvlText w:val="%2.%3.%4.%5.%6."/>
      <w:lvlJc w:val="left"/>
      <w:pPr>
        <w:tabs>
          <w:tab w:val="num" w:pos="2586"/>
        </w:tabs>
        <w:ind w:left="2586" w:hanging="360"/>
      </w:pPr>
    </w:lvl>
    <w:lvl w:ilvl="6">
      <w:start w:val="1"/>
      <w:numFmt w:val="decimal"/>
      <w:lvlText w:val="%2.%3.%4.%5.%6.%7."/>
      <w:lvlJc w:val="left"/>
      <w:pPr>
        <w:tabs>
          <w:tab w:val="num" w:pos="2946"/>
        </w:tabs>
        <w:ind w:left="2946" w:hanging="360"/>
      </w:pPr>
    </w:lvl>
    <w:lvl w:ilvl="7">
      <w:start w:val="1"/>
      <w:numFmt w:val="decimal"/>
      <w:lvlText w:val="%2.%3.%4.%5.%6.%7.%8."/>
      <w:lvlJc w:val="left"/>
      <w:pPr>
        <w:tabs>
          <w:tab w:val="num" w:pos="3306"/>
        </w:tabs>
        <w:ind w:left="3306" w:hanging="360"/>
      </w:pPr>
    </w:lvl>
    <w:lvl w:ilvl="8">
      <w:start w:val="1"/>
      <w:numFmt w:val="decimal"/>
      <w:lvlText w:val="%2.%3.%4.%5.%6.%7.%8.%9."/>
      <w:lvlJc w:val="left"/>
      <w:pPr>
        <w:tabs>
          <w:tab w:val="num" w:pos="3666"/>
        </w:tabs>
        <w:ind w:left="3666" w:hanging="360"/>
      </w:pPr>
    </w:lvl>
  </w:abstractNum>
  <w:abstractNum w:abstractNumId="2" w15:restartNumberingAfterBreak="0">
    <w:nsid w:val="00000005"/>
    <w:multiLevelType w:val="multilevel"/>
    <w:tmpl w:val="7C52F240"/>
    <w:name w:val="WWNum5"/>
    <w:lvl w:ilvl="0">
      <w:start w:val="1"/>
      <w:numFmt w:val="decimal"/>
      <w:lvlText w:val="%1)"/>
      <w:lvlJc w:val="left"/>
      <w:pPr>
        <w:tabs>
          <w:tab w:val="num" w:pos="-76"/>
        </w:tabs>
        <w:ind w:left="644" w:hanging="360"/>
      </w:pPr>
    </w:lvl>
    <w:lvl w:ilvl="1">
      <w:start w:val="1"/>
      <w:numFmt w:val="lowerLetter"/>
      <w:lvlText w:val="%2)"/>
      <w:lvlJc w:val="left"/>
      <w:pPr>
        <w:tabs>
          <w:tab w:val="num" w:pos="-229"/>
        </w:tabs>
        <w:ind w:left="1211" w:hanging="360"/>
      </w:pPr>
      <w:rPr>
        <w:rFonts w:ascii="ArialMT" w:eastAsia="Songti SC" w:hAnsi="ArialMT" w:cs="Arial Unicode MS"/>
      </w:r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3"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5"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39163B7"/>
    <w:multiLevelType w:val="hybridMultilevel"/>
    <w:tmpl w:val="9FAE589A"/>
    <w:lvl w:ilvl="0" w:tplc="04150005">
      <w:start w:val="1"/>
      <w:numFmt w:val="bullet"/>
      <w:lvlText w:val=""/>
      <w:lvlJc w:val="left"/>
      <w:pPr>
        <w:ind w:left="2976" w:hanging="360"/>
      </w:pPr>
      <w:rPr>
        <w:rFonts w:ascii="Wingdings" w:hAnsi="Wingdings" w:hint="default"/>
      </w:rPr>
    </w:lvl>
    <w:lvl w:ilvl="1" w:tplc="04150003" w:tentative="1">
      <w:start w:val="1"/>
      <w:numFmt w:val="bullet"/>
      <w:lvlText w:val="o"/>
      <w:lvlJc w:val="left"/>
      <w:pPr>
        <w:ind w:left="3696" w:hanging="360"/>
      </w:pPr>
      <w:rPr>
        <w:rFonts w:ascii="Courier New" w:hAnsi="Courier New" w:cs="Courier New" w:hint="default"/>
      </w:rPr>
    </w:lvl>
    <w:lvl w:ilvl="2" w:tplc="04150005" w:tentative="1">
      <w:start w:val="1"/>
      <w:numFmt w:val="bullet"/>
      <w:lvlText w:val=""/>
      <w:lvlJc w:val="left"/>
      <w:pPr>
        <w:ind w:left="4416" w:hanging="360"/>
      </w:pPr>
      <w:rPr>
        <w:rFonts w:ascii="Wingdings" w:hAnsi="Wingdings" w:hint="default"/>
      </w:rPr>
    </w:lvl>
    <w:lvl w:ilvl="3" w:tplc="04150001" w:tentative="1">
      <w:start w:val="1"/>
      <w:numFmt w:val="bullet"/>
      <w:lvlText w:val=""/>
      <w:lvlJc w:val="left"/>
      <w:pPr>
        <w:ind w:left="5136" w:hanging="360"/>
      </w:pPr>
      <w:rPr>
        <w:rFonts w:ascii="Symbol" w:hAnsi="Symbol" w:hint="default"/>
      </w:rPr>
    </w:lvl>
    <w:lvl w:ilvl="4" w:tplc="04150003" w:tentative="1">
      <w:start w:val="1"/>
      <w:numFmt w:val="bullet"/>
      <w:lvlText w:val="o"/>
      <w:lvlJc w:val="left"/>
      <w:pPr>
        <w:ind w:left="5856" w:hanging="360"/>
      </w:pPr>
      <w:rPr>
        <w:rFonts w:ascii="Courier New" w:hAnsi="Courier New" w:cs="Courier New" w:hint="default"/>
      </w:rPr>
    </w:lvl>
    <w:lvl w:ilvl="5" w:tplc="04150005" w:tentative="1">
      <w:start w:val="1"/>
      <w:numFmt w:val="bullet"/>
      <w:lvlText w:val=""/>
      <w:lvlJc w:val="left"/>
      <w:pPr>
        <w:ind w:left="6576" w:hanging="360"/>
      </w:pPr>
      <w:rPr>
        <w:rFonts w:ascii="Wingdings" w:hAnsi="Wingdings" w:hint="default"/>
      </w:rPr>
    </w:lvl>
    <w:lvl w:ilvl="6" w:tplc="04150001" w:tentative="1">
      <w:start w:val="1"/>
      <w:numFmt w:val="bullet"/>
      <w:lvlText w:val=""/>
      <w:lvlJc w:val="left"/>
      <w:pPr>
        <w:ind w:left="7296" w:hanging="360"/>
      </w:pPr>
      <w:rPr>
        <w:rFonts w:ascii="Symbol" w:hAnsi="Symbol" w:hint="default"/>
      </w:rPr>
    </w:lvl>
    <w:lvl w:ilvl="7" w:tplc="04150003" w:tentative="1">
      <w:start w:val="1"/>
      <w:numFmt w:val="bullet"/>
      <w:lvlText w:val="o"/>
      <w:lvlJc w:val="left"/>
      <w:pPr>
        <w:ind w:left="8016" w:hanging="360"/>
      </w:pPr>
      <w:rPr>
        <w:rFonts w:ascii="Courier New" w:hAnsi="Courier New" w:cs="Courier New" w:hint="default"/>
      </w:rPr>
    </w:lvl>
    <w:lvl w:ilvl="8" w:tplc="04150005" w:tentative="1">
      <w:start w:val="1"/>
      <w:numFmt w:val="bullet"/>
      <w:lvlText w:val=""/>
      <w:lvlJc w:val="left"/>
      <w:pPr>
        <w:ind w:left="8736" w:hanging="360"/>
      </w:pPr>
      <w:rPr>
        <w:rFonts w:ascii="Wingdings" w:hAnsi="Wingding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4E715A3"/>
    <w:multiLevelType w:val="hybridMultilevel"/>
    <w:tmpl w:val="F07679A6"/>
    <w:lvl w:ilvl="0" w:tplc="691CE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B9B089D"/>
    <w:multiLevelType w:val="multilevel"/>
    <w:tmpl w:val="5B9E5016"/>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464C0556"/>
    <w:multiLevelType w:val="multilevel"/>
    <w:tmpl w:val="D1F09E40"/>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18"/>
  </w:num>
  <w:num w:numId="3">
    <w:abstractNumId w:val="33"/>
  </w:num>
  <w:num w:numId="4">
    <w:abstractNumId w:val="28"/>
  </w:num>
  <w:num w:numId="5">
    <w:abstractNumId w:val="47"/>
  </w:num>
  <w:num w:numId="6">
    <w:abstractNumId w:val="46"/>
  </w:num>
  <w:num w:numId="7">
    <w:abstractNumId w:val="16"/>
  </w:num>
  <w:num w:numId="8">
    <w:abstractNumId w:val="26"/>
  </w:num>
  <w:num w:numId="9">
    <w:abstractNumId w:val="27"/>
  </w:num>
  <w:num w:numId="10">
    <w:abstractNumId w:val="44"/>
  </w:num>
  <w:num w:numId="11">
    <w:abstractNumId w:val="25"/>
  </w:num>
  <w:num w:numId="12">
    <w:abstractNumId w:val="9"/>
  </w:num>
  <w:num w:numId="13">
    <w:abstractNumId w:val="38"/>
  </w:num>
  <w:num w:numId="14">
    <w:abstractNumId w:val="32"/>
  </w:num>
  <w:num w:numId="15">
    <w:abstractNumId w:val="14"/>
  </w:num>
  <w:num w:numId="16">
    <w:abstractNumId w:val="53"/>
  </w:num>
  <w:num w:numId="17">
    <w:abstractNumId w:val="42"/>
  </w:num>
  <w:num w:numId="18">
    <w:abstractNumId w:val="36"/>
  </w:num>
  <w:num w:numId="19">
    <w:abstractNumId w:val="48"/>
  </w:num>
  <w:num w:numId="20">
    <w:abstractNumId w:val="35"/>
  </w:num>
  <w:num w:numId="21">
    <w:abstractNumId w:val="52"/>
  </w:num>
  <w:num w:numId="22">
    <w:abstractNumId w:val="17"/>
  </w:num>
  <w:num w:numId="23">
    <w:abstractNumId w:val="41"/>
  </w:num>
  <w:num w:numId="24">
    <w:abstractNumId w:val="34"/>
  </w:num>
  <w:num w:numId="25">
    <w:abstractNumId w:val="24"/>
  </w:num>
  <w:num w:numId="26">
    <w:abstractNumId w:val="43"/>
  </w:num>
  <w:num w:numId="27">
    <w:abstractNumId w:val="12"/>
  </w:num>
  <w:num w:numId="28">
    <w:abstractNumId w:val="40"/>
  </w:num>
  <w:num w:numId="29">
    <w:abstractNumId w:val="11"/>
  </w:num>
  <w:num w:numId="30">
    <w:abstractNumId w:val="49"/>
  </w:num>
  <w:num w:numId="31">
    <w:abstractNumId w:val="21"/>
  </w:num>
  <w:num w:numId="32">
    <w:abstractNumId w:val="15"/>
  </w:num>
  <w:num w:numId="33">
    <w:abstractNumId w:val="7"/>
  </w:num>
  <w:num w:numId="34">
    <w:abstractNumId w:val="22"/>
  </w:num>
  <w:num w:numId="35">
    <w:abstractNumId w:val="13"/>
  </w:num>
  <w:num w:numId="36">
    <w:abstractNumId w:val="5"/>
  </w:num>
  <w:num w:numId="37">
    <w:abstractNumId w:val="3"/>
  </w:num>
  <w:num w:numId="38">
    <w:abstractNumId w:val="39"/>
  </w:num>
  <w:num w:numId="39">
    <w:abstractNumId w:val="23"/>
  </w:num>
  <w:num w:numId="40">
    <w:abstractNumId w:val="37"/>
  </w:num>
  <w:num w:numId="41">
    <w:abstractNumId w:val="29"/>
  </w:num>
  <w:num w:numId="42">
    <w:abstractNumId w:val="31"/>
  </w:num>
  <w:num w:numId="43">
    <w:abstractNumId w:val="6"/>
  </w:num>
  <w:num w:numId="44">
    <w:abstractNumId w:val="4"/>
  </w:num>
  <w:num w:numId="45">
    <w:abstractNumId w:val="20"/>
  </w:num>
  <w:num w:numId="46">
    <w:abstractNumId w:val="45"/>
  </w:num>
  <w:num w:numId="47">
    <w:abstractNumId w:val="51"/>
  </w:num>
  <w:num w:numId="48">
    <w:abstractNumId w:val="0"/>
  </w:num>
  <w:num w:numId="49">
    <w:abstractNumId w:val="1"/>
  </w:num>
  <w:num w:numId="50">
    <w:abstractNumId w:val="2"/>
  </w:num>
  <w:num w:numId="51">
    <w:abstractNumId w:val="8"/>
  </w:num>
  <w:num w:numId="52">
    <w:abstractNumId w:val="30"/>
  </w:num>
  <w:num w:numId="53">
    <w:abstractNumId w:val="50"/>
  </w:num>
  <w:num w:numId="5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BDA"/>
    <w:rsid w:val="00000FA4"/>
    <w:rsid w:val="0000317A"/>
    <w:rsid w:val="000038A5"/>
    <w:rsid w:val="00014335"/>
    <w:rsid w:val="00014E15"/>
    <w:rsid w:val="00015B22"/>
    <w:rsid w:val="00020445"/>
    <w:rsid w:val="00021A85"/>
    <w:rsid w:val="0002493D"/>
    <w:rsid w:val="0002792A"/>
    <w:rsid w:val="0003393E"/>
    <w:rsid w:val="00035152"/>
    <w:rsid w:val="000361C4"/>
    <w:rsid w:val="00054FEB"/>
    <w:rsid w:val="00065219"/>
    <w:rsid w:val="00066518"/>
    <w:rsid w:val="00073F2C"/>
    <w:rsid w:val="0008065E"/>
    <w:rsid w:val="00081311"/>
    <w:rsid w:val="00085B80"/>
    <w:rsid w:val="0009041D"/>
    <w:rsid w:val="00096CF9"/>
    <w:rsid w:val="000A2ABC"/>
    <w:rsid w:val="000A7622"/>
    <w:rsid w:val="000A77D0"/>
    <w:rsid w:val="000A7BB7"/>
    <w:rsid w:val="000B25E4"/>
    <w:rsid w:val="000B7F2A"/>
    <w:rsid w:val="000C03FA"/>
    <w:rsid w:val="000D4EFB"/>
    <w:rsid w:val="000D5AC5"/>
    <w:rsid w:val="000E407F"/>
    <w:rsid w:val="000F08FF"/>
    <w:rsid w:val="000F2164"/>
    <w:rsid w:val="000F2B9D"/>
    <w:rsid w:val="000F2C37"/>
    <w:rsid w:val="000F46E3"/>
    <w:rsid w:val="00103991"/>
    <w:rsid w:val="00104BF2"/>
    <w:rsid w:val="00106698"/>
    <w:rsid w:val="0011387D"/>
    <w:rsid w:val="00120057"/>
    <w:rsid w:val="00127499"/>
    <w:rsid w:val="00133070"/>
    <w:rsid w:val="00136B9F"/>
    <w:rsid w:val="00141FE1"/>
    <w:rsid w:val="00146631"/>
    <w:rsid w:val="00156252"/>
    <w:rsid w:val="00156BD0"/>
    <w:rsid w:val="00165E6D"/>
    <w:rsid w:val="00170BEC"/>
    <w:rsid w:val="00174004"/>
    <w:rsid w:val="00175122"/>
    <w:rsid w:val="001757F8"/>
    <w:rsid w:val="00183627"/>
    <w:rsid w:val="00183BD3"/>
    <w:rsid w:val="00191473"/>
    <w:rsid w:val="001A0FBF"/>
    <w:rsid w:val="001A465B"/>
    <w:rsid w:val="001A5840"/>
    <w:rsid w:val="001B16D2"/>
    <w:rsid w:val="001D705C"/>
    <w:rsid w:val="001E4E4E"/>
    <w:rsid w:val="001E4E5D"/>
    <w:rsid w:val="001F3B8F"/>
    <w:rsid w:val="00200DD7"/>
    <w:rsid w:val="002065C3"/>
    <w:rsid w:val="00210870"/>
    <w:rsid w:val="00211650"/>
    <w:rsid w:val="00213702"/>
    <w:rsid w:val="00214FF5"/>
    <w:rsid w:val="002153BE"/>
    <w:rsid w:val="00215964"/>
    <w:rsid w:val="00216E86"/>
    <w:rsid w:val="00223730"/>
    <w:rsid w:val="00231132"/>
    <w:rsid w:val="0024021F"/>
    <w:rsid w:val="00241BDD"/>
    <w:rsid w:val="00245B60"/>
    <w:rsid w:val="00253567"/>
    <w:rsid w:val="002564F6"/>
    <w:rsid w:val="002750F9"/>
    <w:rsid w:val="002763A6"/>
    <w:rsid w:val="00283A12"/>
    <w:rsid w:val="002851A1"/>
    <w:rsid w:val="00286681"/>
    <w:rsid w:val="00294AAB"/>
    <w:rsid w:val="00294D08"/>
    <w:rsid w:val="002A14D2"/>
    <w:rsid w:val="002A359D"/>
    <w:rsid w:val="002B240E"/>
    <w:rsid w:val="002C1750"/>
    <w:rsid w:val="002C4640"/>
    <w:rsid w:val="002D32F1"/>
    <w:rsid w:val="002E2EE6"/>
    <w:rsid w:val="002E5497"/>
    <w:rsid w:val="002E5630"/>
    <w:rsid w:val="002E6E84"/>
    <w:rsid w:val="002F3E46"/>
    <w:rsid w:val="00301B5B"/>
    <w:rsid w:val="00303BB9"/>
    <w:rsid w:val="0030487F"/>
    <w:rsid w:val="0030501E"/>
    <w:rsid w:val="00317008"/>
    <w:rsid w:val="00317FF0"/>
    <w:rsid w:val="003309C5"/>
    <w:rsid w:val="00346BA6"/>
    <w:rsid w:val="00352986"/>
    <w:rsid w:val="0035678A"/>
    <w:rsid w:val="0036521E"/>
    <w:rsid w:val="00371A1A"/>
    <w:rsid w:val="00372911"/>
    <w:rsid w:val="00377DAC"/>
    <w:rsid w:val="00380290"/>
    <w:rsid w:val="003852A7"/>
    <w:rsid w:val="00390BF6"/>
    <w:rsid w:val="0039336D"/>
    <w:rsid w:val="003953D3"/>
    <w:rsid w:val="003A20ED"/>
    <w:rsid w:val="003B26C8"/>
    <w:rsid w:val="003C37BF"/>
    <w:rsid w:val="003D114A"/>
    <w:rsid w:val="003E2ED8"/>
    <w:rsid w:val="003E37B5"/>
    <w:rsid w:val="003F5841"/>
    <w:rsid w:val="003F5F97"/>
    <w:rsid w:val="00402F55"/>
    <w:rsid w:val="00403327"/>
    <w:rsid w:val="004054E9"/>
    <w:rsid w:val="00407A3C"/>
    <w:rsid w:val="00413D8F"/>
    <w:rsid w:val="004172F1"/>
    <w:rsid w:val="004211BC"/>
    <w:rsid w:val="004230ED"/>
    <w:rsid w:val="0042385A"/>
    <w:rsid w:val="00423FB1"/>
    <w:rsid w:val="004257D5"/>
    <w:rsid w:val="00426D11"/>
    <w:rsid w:val="004340CF"/>
    <w:rsid w:val="00436ACE"/>
    <w:rsid w:val="00443D81"/>
    <w:rsid w:val="00444395"/>
    <w:rsid w:val="0044686C"/>
    <w:rsid w:val="004630B2"/>
    <w:rsid w:val="00474732"/>
    <w:rsid w:val="00475578"/>
    <w:rsid w:val="00475F40"/>
    <w:rsid w:val="00476229"/>
    <w:rsid w:val="0048297C"/>
    <w:rsid w:val="00483B4A"/>
    <w:rsid w:val="00487613"/>
    <w:rsid w:val="00497D1A"/>
    <w:rsid w:val="004A6B64"/>
    <w:rsid w:val="004B7156"/>
    <w:rsid w:val="004C737D"/>
    <w:rsid w:val="004D33CC"/>
    <w:rsid w:val="004D71CD"/>
    <w:rsid w:val="004E5D76"/>
    <w:rsid w:val="004E6A0A"/>
    <w:rsid w:val="004E6B8C"/>
    <w:rsid w:val="00501337"/>
    <w:rsid w:val="00503056"/>
    <w:rsid w:val="00507AA6"/>
    <w:rsid w:val="0051435B"/>
    <w:rsid w:val="00523565"/>
    <w:rsid w:val="005266E5"/>
    <w:rsid w:val="0052709A"/>
    <w:rsid w:val="00533D42"/>
    <w:rsid w:val="005355F3"/>
    <w:rsid w:val="0055511D"/>
    <w:rsid w:val="00563ABE"/>
    <w:rsid w:val="00570DC6"/>
    <w:rsid w:val="00576609"/>
    <w:rsid w:val="00583AA6"/>
    <w:rsid w:val="00586FE2"/>
    <w:rsid w:val="0059078A"/>
    <w:rsid w:val="00591286"/>
    <w:rsid w:val="0059479F"/>
    <w:rsid w:val="005B0BAF"/>
    <w:rsid w:val="005B3F02"/>
    <w:rsid w:val="005C14F7"/>
    <w:rsid w:val="005C617F"/>
    <w:rsid w:val="005C778E"/>
    <w:rsid w:val="005D0BB8"/>
    <w:rsid w:val="005D4A60"/>
    <w:rsid w:val="005D755A"/>
    <w:rsid w:val="005E197A"/>
    <w:rsid w:val="005F3969"/>
    <w:rsid w:val="00604ED3"/>
    <w:rsid w:val="006052BC"/>
    <w:rsid w:val="006103A2"/>
    <w:rsid w:val="0061730D"/>
    <w:rsid w:val="006217C3"/>
    <w:rsid w:val="0063031F"/>
    <w:rsid w:val="006355D1"/>
    <w:rsid w:val="0063717C"/>
    <w:rsid w:val="0064487B"/>
    <w:rsid w:val="00644A31"/>
    <w:rsid w:val="00654324"/>
    <w:rsid w:val="00666ECA"/>
    <w:rsid w:val="00667575"/>
    <w:rsid w:val="00672372"/>
    <w:rsid w:val="006905BA"/>
    <w:rsid w:val="00695EBE"/>
    <w:rsid w:val="00697180"/>
    <w:rsid w:val="006A05B0"/>
    <w:rsid w:val="006B06CD"/>
    <w:rsid w:val="006B1944"/>
    <w:rsid w:val="006B21DD"/>
    <w:rsid w:val="006C2A2C"/>
    <w:rsid w:val="006C4B30"/>
    <w:rsid w:val="006D16C6"/>
    <w:rsid w:val="006D49F1"/>
    <w:rsid w:val="006D5AFD"/>
    <w:rsid w:val="006D658E"/>
    <w:rsid w:val="006F233B"/>
    <w:rsid w:val="006F2371"/>
    <w:rsid w:val="00700504"/>
    <w:rsid w:val="00705174"/>
    <w:rsid w:val="00724F94"/>
    <w:rsid w:val="0072591A"/>
    <w:rsid w:val="00725EA8"/>
    <w:rsid w:val="00727604"/>
    <w:rsid w:val="007315B7"/>
    <w:rsid w:val="00737994"/>
    <w:rsid w:val="00740478"/>
    <w:rsid w:val="00743B90"/>
    <w:rsid w:val="007523F8"/>
    <w:rsid w:val="0075475C"/>
    <w:rsid w:val="00756EE5"/>
    <w:rsid w:val="00757F2F"/>
    <w:rsid w:val="00760A78"/>
    <w:rsid w:val="00775EB2"/>
    <w:rsid w:val="00776D74"/>
    <w:rsid w:val="0078336B"/>
    <w:rsid w:val="00791E4E"/>
    <w:rsid w:val="00795955"/>
    <w:rsid w:val="0079617E"/>
    <w:rsid w:val="007A317B"/>
    <w:rsid w:val="007A6771"/>
    <w:rsid w:val="007A71F3"/>
    <w:rsid w:val="007B2C51"/>
    <w:rsid w:val="007B7477"/>
    <w:rsid w:val="007C5FB0"/>
    <w:rsid w:val="007D3599"/>
    <w:rsid w:val="007D3D3D"/>
    <w:rsid w:val="007E6965"/>
    <w:rsid w:val="007F0527"/>
    <w:rsid w:val="007F1F31"/>
    <w:rsid w:val="007F3E76"/>
    <w:rsid w:val="007F56A5"/>
    <w:rsid w:val="008007BB"/>
    <w:rsid w:val="00803039"/>
    <w:rsid w:val="00820BBF"/>
    <w:rsid w:val="00821922"/>
    <w:rsid w:val="00823A76"/>
    <w:rsid w:val="00823D90"/>
    <w:rsid w:val="00826FBF"/>
    <w:rsid w:val="00833AB4"/>
    <w:rsid w:val="0084405B"/>
    <w:rsid w:val="008470E9"/>
    <w:rsid w:val="00853FAB"/>
    <w:rsid w:val="00860293"/>
    <w:rsid w:val="00871978"/>
    <w:rsid w:val="00876196"/>
    <w:rsid w:val="00877086"/>
    <w:rsid w:val="00883761"/>
    <w:rsid w:val="00890940"/>
    <w:rsid w:val="0089542A"/>
    <w:rsid w:val="008B31A2"/>
    <w:rsid w:val="008C028B"/>
    <w:rsid w:val="008C154D"/>
    <w:rsid w:val="008C27C7"/>
    <w:rsid w:val="008D5FD3"/>
    <w:rsid w:val="008D6BF6"/>
    <w:rsid w:val="008E326E"/>
    <w:rsid w:val="0090269A"/>
    <w:rsid w:val="009041AF"/>
    <w:rsid w:val="00907B46"/>
    <w:rsid w:val="009163F6"/>
    <w:rsid w:val="009178CC"/>
    <w:rsid w:val="00922FBF"/>
    <w:rsid w:val="00924664"/>
    <w:rsid w:val="009248EF"/>
    <w:rsid w:val="00935A82"/>
    <w:rsid w:val="00936995"/>
    <w:rsid w:val="009476E4"/>
    <w:rsid w:val="00950D94"/>
    <w:rsid w:val="00951973"/>
    <w:rsid w:val="009542A4"/>
    <w:rsid w:val="00957121"/>
    <w:rsid w:val="00961B9B"/>
    <w:rsid w:val="0096283A"/>
    <w:rsid w:val="009629BE"/>
    <w:rsid w:val="009634A5"/>
    <w:rsid w:val="00966437"/>
    <w:rsid w:val="009712B3"/>
    <w:rsid w:val="00972DE5"/>
    <w:rsid w:val="00974790"/>
    <w:rsid w:val="00974B6C"/>
    <w:rsid w:val="00984DD7"/>
    <w:rsid w:val="00992F95"/>
    <w:rsid w:val="009A48AC"/>
    <w:rsid w:val="009C1690"/>
    <w:rsid w:val="009D06D4"/>
    <w:rsid w:val="009D09F0"/>
    <w:rsid w:val="009D18A1"/>
    <w:rsid w:val="009D1E13"/>
    <w:rsid w:val="009E39B0"/>
    <w:rsid w:val="009E40F3"/>
    <w:rsid w:val="009E61E0"/>
    <w:rsid w:val="009F1485"/>
    <w:rsid w:val="009F1855"/>
    <w:rsid w:val="009F2F8C"/>
    <w:rsid w:val="009F63F3"/>
    <w:rsid w:val="009F6A10"/>
    <w:rsid w:val="00A16900"/>
    <w:rsid w:val="00A26B27"/>
    <w:rsid w:val="00A27B7D"/>
    <w:rsid w:val="00A345CA"/>
    <w:rsid w:val="00A37361"/>
    <w:rsid w:val="00A45E49"/>
    <w:rsid w:val="00A63C1B"/>
    <w:rsid w:val="00A64EA0"/>
    <w:rsid w:val="00A71FEC"/>
    <w:rsid w:val="00A767CA"/>
    <w:rsid w:val="00A87658"/>
    <w:rsid w:val="00A90284"/>
    <w:rsid w:val="00A9215D"/>
    <w:rsid w:val="00AA416A"/>
    <w:rsid w:val="00AA622A"/>
    <w:rsid w:val="00AA77CB"/>
    <w:rsid w:val="00AB3586"/>
    <w:rsid w:val="00AC277E"/>
    <w:rsid w:val="00AC5692"/>
    <w:rsid w:val="00AC7B7B"/>
    <w:rsid w:val="00AD3B13"/>
    <w:rsid w:val="00AD5F72"/>
    <w:rsid w:val="00AF0B90"/>
    <w:rsid w:val="00AF4EFE"/>
    <w:rsid w:val="00B01799"/>
    <w:rsid w:val="00B02199"/>
    <w:rsid w:val="00B12B2C"/>
    <w:rsid w:val="00B1339E"/>
    <w:rsid w:val="00B22392"/>
    <w:rsid w:val="00B24517"/>
    <w:rsid w:val="00B476A2"/>
    <w:rsid w:val="00B4783B"/>
    <w:rsid w:val="00B51372"/>
    <w:rsid w:val="00B577F8"/>
    <w:rsid w:val="00B606EF"/>
    <w:rsid w:val="00B6466A"/>
    <w:rsid w:val="00B70111"/>
    <w:rsid w:val="00B714E8"/>
    <w:rsid w:val="00B83501"/>
    <w:rsid w:val="00B95B4D"/>
    <w:rsid w:val="00B96E27"/>
    <w:rsid w:val="00BA107B"/>
    <w:rsid w:val="00BA462E"/>
    <w:rsid w:val="00BB3805"/>
    <w:rsid w:val="00BB4E3F"/>
    <w:rsid w:val="00BB5082"/>
    <w:rsid w:val="00BC096D"/>
    <w:rsid w:val="00BD4769"/>
    <w:rsid w:val="00BE11E5"/>
    <w:rsid w:val="00BE294B"/>
    <w:rsid w:val="00BE4EB3"/>
    <w:rsid w:val="00BE6E7E"/>
    <w:rsid w:val="00BF2C98"/>
    <w:rsid w:val="00BF5F57"/>
    <w:rsid w:val="00BF6AEE"/>
    <w:rsid w:val="00C04ED4"/>
    <w:rsid w:val="00C14EF6"/>
    <w:rsid w:val="00C1522C"/>
    <w:rsid w:val="00C15812"/>
    <w:rsid w:val="00C25C29"/>
    <w:rsid w:val="00C26E80"/>
    <w:rsid w:val="00C33EF7"/>
    <w:rsid w:val="00C40FB4"/>
    <w:rsid w:val="00C56231"/>
    <w:rsid w:val="00C56F5E"/>
    <w:rsid w:val="00C70195"/>
    <w:rsid w:val="00C8081D"/>
    <w:rsid w:val="00C81208"/>
    <w:rsid w:val="00C865FC"/>
    <w:rsid w:val="00C941A7"/>
    <w:rsid w:val="00CA2AE6"/>
    <w:rsid w:val="00CA3E44"/>
    <w:rsid w:val="00CA3ECA"/>
    <w:rsid w:val="00CB0619"/>
    <w:rsid w:val="00CB1ADD"/>
    <w:rsid w:val="00CB4111"/>
    <w:rsid w:val="00CB5BD8"/>
    <w:rsid w:val="00CC5C2C"/>
    <w:rsid w:val="00CD41BA"/>
    <w:rsid w:val="00CE0146"/>
    <w:rsid w:val="00CE1ABF"/>
    <w:rsid w:val="00CE287D"/>
    <w:rsid w:val="00CE39A2"/>
    <w:rsid w:val="00D167DE"/>
    <w:rsid w:val="00D16E83"/>
    <w:rsid w:val="00D177FC"/>
    <w:rsid w:val="00D24386"/>
    <w:rsid w:val="00D253B5"/>
    <w:rsid w:val="00D347B6"/>
    <w:rsid w:val="00D35D00"/>
    <w:rsid w:val="00D419EC"/>
    <w:rsid w:val="00D42BE8"/>
    <w:rsid w:val="00D43E20"/>
    <w:rsid w:val="00D44306"/>
    <w:rsid w:val="00D51ED6"/>
    <w:rsid w:val="00D54FE4"/>
    <w:rsid w:val="00D56FCD"/>
    <w:rsid w:val="00D62B7C"/>
    <w:rsid w:val="00D6320F"/>
    <w:rsid w:val="00D632B2"/>
    <w:rsid w:val="00D70CAA"/>
    <w:rsid w:val="00D7703F"/>
    <w:rsid w:val="00D776D8"/>
    <w:rsid w:val="00D82CF3"/>
    <w:rsid w:val="00D95E98"/>
    <w:rsid w:val="00DA3073"/>
    <w:rsid w:val="00DB6E2C"/>
    <w:rsid w:val="00DC26A2"/>
    <w:rsid w:val="00DC55CC"/>
    <w:rsid w:val="00DC58C8"/>
    <w:rsid w:val="00DC7B9F"/>
    <w:rsid w:val="00DD5DE8"/>
    <w:rsid w:val="00DE26B1"/>
    <w:rsid w:val="00DE5999"/>
    <w:rsid w:val="00E015C4"/>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6D2"/>
    <w:rsid w:val="00E878AF"/>
    <w:rsid w:val="00EA79E7"/>
    <w:rsid w:val="00EB2B90"/>
    <w:rsid w:val="00ED0A17"/>
    <w:rsid w:val="00ED5279"/>
    <w:rsid w:val="00EE141F"/>
    <w:rsid w:val="00EE234B"/>
    <w:rsid w:val="00EE2CFE"/>
    <w:rsid w:val="00EE5183"/>
    <w:rsid w:val="00EE60B4"/>
    <w:rsid w:val="00EE6EA5"/>
    <w:rsid w:val="00EE7588"/>
    <w:rsid w:val="00EE7F93"/>
    <w:rsid w:val="00EF3C74"/>
    <w:rsid w:val="00F0037B"/>
    <w:rsid w:val="00F02B8B"/>
    <w:rsid w:val="00F03569"/>
    <w:rsid w:val="00F15E59"/>
    <w:rsid w:val="00F233FE"/>
    <w:rsid w:val="00F31A0C"/>
    <w:rsid w:val="00F34480"/>
    <w:rsid w:val="00F424FC"/>
    <w:rsid w:val="00F5359C"/>
    <w:rsid w:val="00F55CB1"/>
    <w:rsid w:val="00F643A7"/>
    <w:rsid w:val="00F6620C"/>
    <w:rsid w:val="00F74EFC"/>
    <w:rsid w:val="00F75909"/>
    <w:rsid w:val="00F87A38"/>
    <w:rsid w:val="00F94BB6"/>
    <w:rsid w:val="00F97A1B"/>
    <w:rsid w:val="00FA1F10"/>
    <w:rsid w:val="00FA26A2"/>
    <w:rsid w:val="00FA68BC"/>
    <w:rsid w:val="00FA76C8"/>
    <w:rsid w:val="00FC32E7"/>
    <w:rsid w:val="00FC6764"/>
    <w:rsid w:val="00FC7726"/>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78D5-6BF0-411A-9C28-620799CC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23</Pages>
  <Words>9837</Words>
  <Characters>59024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96</cp:revision>
  <cp:lastPrinted>2020-07-28T06:50:00Z</cp:lastPrinted>
  <dcterms:created xsi:type="dcterms:W3CDTF">2017-07-04T13:15:00Z</dcterms:created>
  <dcterms:modified xsi:type="dcterms:W3CDTF">2020-09-14T06:57:00Z</dcterms:modified>
</cp:coreProperties>
</file>