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9B" w:rsidRDefault="0042199B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2199B">
        <w:rPr>
          <w:rFonts w:ascii="CG Omega" w:hAnsi="CG Omega" w:cs="Gautami"/>
          <w:b/>
        </w:rPr>
        <w:t>IZ.271.I.15</w:t>
      </w:r>
      <w:r w:rsidR="00AA4594">
        <w:rPr>
          <w:rFonts w:ascii="CG Omega" w:hAnsi="CG Omega" w:cs="Gautami"/>
          <w:b/>
        </w:rPr>
        <w:t>.</w:t>
      </w:r>
      <w:r w:rsidR="00745A6F">
        <w:rPr>
          <w:rFonts w:ascii="CG Omega" w:hAnsi="CG Omega" w:cs="Gautami"/>
          <w:b/>
        </w:rPr>
        <w:t>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2199B" w:rsidRDefault="00943E3A" w:rsidP="0042199B">
      <w:pPr>
        <w:jc w:val="center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</w:t>
      </w:r>
      <w:r w:rsidR="00C45515">
        <w:rPr>
          <w:rFonts w:ascii="CG Omega" w:hAnsi="CG Omega"/>
          <w:b/>
          <w:sz w:val="24"/>
          <w:szCs w:val="24"/>
        </w:rPr>
        <w:t xml:space="preserve">pełnienia nadzoru inwestorskiego na zadaniu inwestycyjnym </w:t>
      </w:r>
      <w:proofErr w:type="spellStart"/>
      <w:r w:rsidR="00C45515">
        <w:rPr>
          <w:rFonts w:ascii="CG Omega" w:hAnsi="CG Omega"/>
          <w:b/>
          <w:sz w:val="24"/>
          <w:szCs w:val="24"/>
        </w:rPr>
        <w:t>pn</w:t>
      </w:r>
      <w:proofErr w:type="spellEnd"/>
      <w:r w:rsidR="00C45515">
        <w:rPr>
          <w:rFonts w:ascii="CG Omega" w:hAnsi="CG Omega"/>
          <w:b/>
          <w:sz w:val="24"/>
          <w:szCs w:val="24"/>
        </w:rPr>
        <w:t xml:space="preserve">:  </w:t>
      </w:r>
      <w:r w:rsidR="006107CA">
        <w:rPr>
          <w:rFonts w:ascii="CG Omega" w:hAnsi="CG Omega"/>
          <w:b/>
          <w:sz w:val="24"/>
          <w:szCs w:val="24"/>
        </w:rPr>
        <w:t xml:space="preserve">  </w:t>
      </w:r>
    </w:p>
    <w:p w:rsidR="0042199B" w:rsidRPr="0042199B" w:rsidRDefault="0042199B" w:rsidP="0042199B">
      <w:pPr>
        <w:jc w:val="center"/>
        <w:rPr>
          <w:rFonts w:ascii="CG Omega" w:eastAsia="Times New Roman" w:hAnsi="CG Omega"/>
          <w:b/>
          <w:smallCaps/>
          <w:sz w:val="28"/>
          <w:szCs w:val="28"/>
        </w:rPr>
      </w:pPr>
      <w:r>
        <w:rPr>
          <w:rFonts w:ascii="CG Omega" w:hAnsi="CG Omega"/>
          <w:b/>
          <w:sz w:val="24"/>
          <w:szCs w:val="24"/>
        </w:rPr>
        <w:t xml:space="preserve">     </w:t>
      </w:r>
      <w:r w:rsidRPr="0042199B">
        <w:rPr>
          <w:rFonts w:ascii="CG Omega" w:eastAsia="Times New Roman" w:hAnsi="CG Omega"/>
          <w:b/>
          <w:smallCaps/>
          <w:sz w:val="28"/>
          <w:szCs w:val="28"/>
        </w:rPr>
        <w:t>Budowa sieci kanalizacji sanitarnej wraz z przyłączami w m. Cetula” – etap I</w:t>
      </w:r>
    </w:p>
    <w:p w:rsidR="00177802" w:rsidRPr="004B45DA" w:rsidRDefault="00C45515" w:rsidP="006107CA">
      <w:pPr>
        <w:spacing w:after="0" w:line="240" w:lineRule="auto"/>
        <w:ind w:left="1843" w:hanging="1843"/>
        <w:jc w:val="both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45A6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42199B">
        <w:rPr>
          <w:rFonts w:ascii="CG Omega" w:hAnsi="CG Omega"/>
        </w:rPr>
        <w:t xml:space="preserve"> dn. 12.08</w:t>
      </w:r>
      <w:r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42199B">
        <w:rPr>
          <w:rFonts w:ascii="CG Omega" w:hAnsi="CG Omega"/>
        </w:rPr>
        <w:t xml:space="preserve"> ze zm.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Pr="00B8389D" w:rsidRDefault="0046186B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42199B">
        <w:rPr>
          <w:rFonts w:ascii="CG Omega" w:hAnsi="CG Omega"/>
          <w:b/>
        </w:rPr>
        <w:t>Budowa kanalizacji sanitarnej wraz z przyłączami w m. Cetula – etap I</w:t>
      </w:r>
      <w:r w:rsidR="00B8389D" w:rsidRPr="00B8389D">
        <w:rPr>
          <w:rFonts w:ascii="CG Omega" w:hAnsi="CG Omega"/>
          <w:b/>
        </w:rPr>
        <w:t>.</w:t>
      </w:r>
    </w:p>
    <w:p w:rsidR="00C45515" w:rsidRDefault="005816FB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 w:rsidR="00C45515" w:rsidRPr="00B34CD5">
        <w:rPr>
          <w:rFonts w:ascii="CG Omega" w:hAnsi="CG Omega"/>
        </w:rPr>
        <w:t>2</w:t>
      </w:r>
      <w:r>
        <w:rPr>
          <w:rFonts w:ascii="CG Omega" w:hAnsi="CG Omega"/>
        </w:rPr>
        <w:t xml:space="preserve">  </w:t>
      </w:r>
      <w:r w:rsidR="00C45515">
        <w:rPr>
          <w:rFonts w:ascii="CG Omega" w:hAnsi="CG Omega"/>
        </w:rPr>
        <w:t xml:space="preserve">    Nadzór inwestorski  prowadzony będzie nad na</w:t>
      </w:r>
      <w:r w:rsidR="00E5425B">
        <w:rPr>
          <w:rFonts w:ascii="CG Omega" w:hAnsi="CG Omega"/>
        </w:rPr>
        <w:t>stępującymi robotami</w:t>
      </w:r>
      <w:r w:rsidR="00C45515">
        <w:rPr>
          <w:rFonts w:ascii="CG Omega" w:hAnsi="CG Omega"/>
        </w:rPr>
        <w:t>: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 xml:space="preserve">rurociągi sanitarne z rur PVC ø 160 mm. typ „N”  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832 m.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 xml:space="preserve">rurociągi sanitarne z rur PVC ø 200mm. typ „N”      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2 623 m.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rurociągi  sanitarne z rur PE 80 SDR 11 PN 10  ø 160 mm.  3 710 m.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 xml:space="preserve">pompownia ścieków  (kompletna) o śr. 2000 mm. </w:t>
      </w:r>
    </w:p>
    <w:p w:rsidR="0042199B" w:rsidRPr="0042199B" w:rsidRDefault="0042199B" w:rsidP="0042199B">
      <w:pPr>
        <w:spacing w:after="0" w:line="240" w:lineRule="auto"/>
        <w:ind w:left="780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z pełną instalacją wewnętrzną, armaturą hydrauliczną,</w:t>
      </w:r>
    </w:p>
    <w:p w:rsidR="0042199B" w:rsidRPr="0042199B" w:rsidRDefault="0042199B" w:rsidP="0042199B">
      <w:pPr>
        <w:spacing w:after="0" w:line="240" w:lineRule="auto"/>
        <w:ind w:left="780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 xml:space="preserve">monitoringiem i wizualizacją 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 xml:space="preserve">        </w:t>
      </w:r>
      <w:r w:rsidRPr="0042199B">
        <w:rPr>
          <w:rFonts w:ascii="CG Omega" w:eastAsiaTheme="minorHAnsi" w:hAnsi="CG Omega" w:cstheme="minorBidi"/>
        </w:rPr>
        <w:tab/>
        <w:t>1 szt.</w:t>
      </w:r>
    </w:p>
    <w:p w:rsidR="0042199B" w:rsidRPr="0042199B" w:rsidRDefault="0042199B" w:rsidP="0042199B">
      <w:pPr>
        <w:numPr>
          <w:ilvl w:val="0"/>
          <w:numId w:val="32"/>
        </w:numPr>
        <w:suppressAutoHyphens/>
        <w:spacing w:after="0" w:line="240" w:lineRule="auto"/>
        <w:ind w:left="709" w:hanging="142"/>
        <w:contextualSpacing/>
        <w:jc w:val="both"/>
        <w:rPr>
          <w:rFonts w:ascii="CG Omega" w:eastAsia="Times New Roman" w:hAnsi="CG Omega"/>
          <w:lang w:eastAsia="ar-SA"/>
        </w:rPr>
      </w:pPr>
      <w:r w:rsidRPr="0042199B">
        <w:rPr>
          <w:rFonts w:ascii="CG Omega" w:eastAsia="Times New Roman" w:hAnsi="CG Omega"/>
          <w:lang w:eastAsia="ar-SA"/>
        </w:rPr>
        <w:t xml:space="preserve"> zagospodarowanie terenu przepompowni (ogrodzenia)    </w:t>
      </w:r>
      <w:r w:rsidRPr="0042199B">
        <w:rPr>
          <w:rFonts w:ascii="CG Omega" w:eastAsia="Times New Roman" w:hAnsi="CG Omega"/>
          <w:lang w:eastAsia="ar-SA"/>
        </w:rPr>
        <w:tab/>
        <w:t xml:space="preserve">1 </w:t>
      </w:r>
      <w:proofErr w:type="spellStart"/>
      <w:r w:rsidRPr="0042199B">
        <w:rPr>
          <w:rFonts w:ascii="CG Omega" w:eastAsia="Times New Roman" w:hAnsi="CG Omega"/>
          <w:lang w:eastAsia="ar-SA"/>
        </w:rPr>
        <w:t>kpl</w:t>
      </w:r>
      <w:proofErr w:type="spellEnd"/>
      <w:r w:rsidRPr="0042199B">
        <w:rPr>
          <w:rFonts w:ascii="CG Omega" w:eastAsia="Times New Roman" w:hAnsi="CG Omega"/>
          <w:lang w:eastAsia="ar-SA"/>
        </w:rPr>
        <w:t>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studnie kaskadowe betonowe o śr. 1200 mm.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23 szt.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studnie inspekcyjne PE o śr. 1200 mm.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11 szt.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 xml:space="preserve">studnia rozprężna PE o śr. 1000 mm. 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 xml:space="preserve">        </w:t>
      </w:r>
      <w:r w:rsidRPr="0042199B">
        <w:rPr>
          <w:rFonts w:ascii="CG Omega" w:eastAsiaTheme="minorHAnsi" w:hAnsi="CG Omega" w:cstheme="minorBidi"/>
        </w:rPr>
        <w:tab/>
        <w:t>1 szt.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studzienki kanalizacyjne systemowe o śr. 400 mm.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111 szt.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zasilanie energetyczne pompowni – instalacja odbiorcza,</w:t>
      </w:r>
    </w:p>
    <w:p w:rsidR="0042199B" w:rsidRPr="0042199B" w:rsidRDefault="0042199B" w:rsidP="0042199B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przyłącza (</w:t>
      </w:r>
      <w:proofErr w:type="spellStart"/>
      <w:r w:rsidRPr="0042199B">
        <w:rPr>
          <w:rFonts w:ascii="CG Omega" w:eastAsiaTheme="minorHAnsi" w:hAnsi="CG Omega" w:cstheme="minorBidi"/>
        </w:rPr>
        <w:t>przykanaliki</w:t>
      </w:r>
      <w:proofErr w:type="spellEnd"/>
      <w:r w:rsidRPr="0042199B">
        <w:rPr>
          <w:rFonts w:ascii="CG Omega" w:eastAsiaTheme="minorHAnsi" w:hAnsi="CG Omega" w:cstheme="minorBidi"/>
        </w:rPr>
        <w:t xml:space="preserve">) kanalizacji sanitarnej  z rur PVC </w:t>
      </w:r>
    </w:p>
    <w:p w:rsidR="0042199B" w:rsidRPr="0042199B" w:rsidRDefault="0042199B" w:rsidP="0042199B">
      <w:pPr>
        <w:spacing w:after="0" w:line="240" w:lineRule="auto"/>
        <w:ind w:left="780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theme="minorBidi"/>
        </w:rPr>
        <w:t>o śr. 160 mm. typu „N”.</w:t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</w:r>
      <w:r w:rsidRPr="0042199B">
        <w:rPr>
          <w:rFonts w:ascii="CG Omega" w:eastAsiaTheme="minorHAnsi" w:hAnsi="CG Omega" w:cstheme="minorBidi"/>
        </w:rPr>
        <w:tab/>
        <w:t>173 m.</w:t>
      </w:r>
    </w:p>
    <w:p w:rsidR="0042199B" w:rsidRPr="000D622A" w:rsidRDefault="0042199B" w:rsidP="000D622A">
      <w:pPr>
        <w:numPr>
          <w:ilvl w:val="0"/>
          <w:numId w:val="31"/>
        </w:numPr>
        <w:spacing w:after="0" w:line="240" w:lineRule="auto"/>
        <w:ind w:hanging="213"/>
        <w:jc w:val="both"/>
        <w:rPr>
          <w:rFonts w:ascii="CG Omega" w:eastAsiaTheme="minorHAnsi" w:hAnsi="CG Omega" w:cstheme="minorBidi"/>
        </w:rPr>
      </w:pPr>
      <w:r w:rsidRPr="0042199B">
        <w:rPr>
          <w:rFonts w:ascii="CG Omega" w:eastAsiaTheme="minorHAnsi" w:hAnsi="CG Omega" w:cs="Arial,Bold"/>
          <w:bCs/>
        </w:rPr>
        <w:t>przekroczenia (przejścia) pod drogami,</w:t>
      </w:r>
    </w:p>
    <w:p w:rsidR="0042199B" w:rsidRPr="001712C6" w:rsidRDefault="0042199B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Pr="001712C6">
        <w:rPr>
          <w:rFonts w:ascii="CG Omega" w:hAnsi="CG Omega"/>
        </w:rPr>
        <w:t>Szczegółowy opis przedmiotu zamówienia zawiera d</w:t>
      </w:r>
      <w:r>
        <w:rPr>
          <w:rFonts w:ascii="CG Omega" w:hAnsi="CG Omega"/>
        </w:rPr>
        <w:t xml:space="preserve">okumentacja projektowa (projekt </w:t>
      </w:r>
      <w:r w:rsidRPr="001712C6">
        <w:rPr>
          <w:rFonts w:ascii="CG Omega" w:hAnsi="CG Omega"/>
        </w:rPr>
        <w:t xml:space="preserve">budowlany), specyfikacja techniczna wykonania i odbioru robót budowlanych i przedmiar robót stanowiące  integralną część </w:t>
      </w:r>
      <w:proofErr w:type="spellStart"/>
      <w:r w:rsidRPr="001712C6">
        <w:rPr>
          <w:rFonts w:ascii="CG Omega" w:hAnsi="CG Omega"/>
        </w:rPr>
        <w:t>siwz</w:t>
      </w:r>
      <w:proofErr w:type="spellEnd"/>
      <w:r w:rsidRPr="001712C6">
        <w:rPr>
          <w:rFonts w:ascii="CG Omega" w:hAnsi="CG Omega"/>
        </w:rPr>
        <w:t>.</w:t>
      </w:r>
    </w:p>
    <w:p w:rsidR="000D622A" w:rsidRPr="00B177B5" w:rsidRDefault="00E5425B" w:rsidP="00E5425B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D622A" w:rsidRPr="00B177B5">
        <w:rPr>
          <w:rFonts w:ascii="CG Omega" w:hAnsi="CG Omega"/>
        </w:rPr>
        <w:t>.3 Do obowiązków wykonawcy</w:t>
      </w:r>
      <w:r>
        <w:rPr>
          <w:rFonts w:ascii="CG Omega" w:hAnsi="CG Omega"/>
        </w:rPr>
        <w:t>,</w:t>
      </w:r>
      <w:r w:rsidR="000D622A" w:rsidRPr="00B177B5">
        <w:rPr>
          <w:rFonts w:ascii="CG Omega" w:hAnsi="CG Omega"/>
        </w:rPr>
        <w:t xml:space="preserve"> związanych z pełnieniem nadzoru inwestorskiego w zakresie </w:t>
      </w:r>
      <w:r w:rsidR="000D622A" w:rsidRPr="00B177B5">
        <w:rPr>
          <w:rFonts w:ascii="CG Omega" w:hAnsi="CG Omega"/>
          <w:bCs/>
        </w:rPr>
        <w:t>realizacji robót, nadzoru, kontroli oraz rozliczenia zadania inwestycyjnego</w:t>
      </w:r>
      <w:r w:rsidR="000D622A">
        <w:rPr>
          <w:rFonts w:ascii="CG Omega" w:hAnsi="CG Omega"/>
          <w:bCs/>
        </w:rPr>
        <w:t xml:space="preserve"> </w:t>
      </w:r>
      <w:r>
        <w:rPr>
          <w:rFonts w:ascii="CG Omega" w:hAnsi="CG Omega"/>
          <w:bCs/>
        </w:rPr>
        <w:t>należy</w:t>
      </w:r>
      <w:r w:rsidR="000D622A" w:rsidRPr="00B177B5">
        <w:rPr>
          <w:rFonts w:ascii="CG Omega" w:hAnsi="CG Omega"/>
          <w:bCs/>
        </w:rPr>
        <w:t>: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s</w:t>
      </w:r>
      <w:r w:rsidR="000D622A" w:rsidRPr="00E5425B">
        <w:rPr>
          <w:rFonts w:ascii="CG Omega" w:hAnsi="CG Omega"/>
        </w:rPr>
        <w:t>prawdzenie opracowanego przez wykonawcę harmonogramu rzeczowo – finansowego robót budowlanych oraz przygotowanie propozycji ewentualnych niezbędnych zmian i</w:t>
      </w:r>
      <w:r>
        <w:rPr>
          <w:rFonts w:ascii="CG Omega" w:hAnsi="CG Omega"/>
        </w:rPr>
        <w:t> </w:t>
      </w:r>
      <w:r w:rsidR="000D622A" w:rsidRPr="00E5425B">
        <w:rPr>
          <w:rFonts w:ascii="CG Omega" w:hAnsi="CG Omega"/>
        </w:rPr>
        <w:t xml:space="preserve">modyfikacji tego dokumentu.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lastRenderedPageBreak/>
        <w:t>k</w:t>
      </w:r>
      <w:r w:rsidR="000D622A" w:rsidRPr="00E5425B">
        <w:rPr>
          <w:rFonts w:ascii="CG Omega" w:hAnsi="CG Omega"/>
        </w:rPr>
        <w:t>ontrola zgodności realizacji z dokumentacją projektową, techniczną, warunkami technicznymi wykonania robót, obowiązującymi przepisami, aktualną wiedzą techniczną, prawem budowlanym i innymi przepisami w tym zakresie.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k</w:t>
      </w:r>
      <w:r w:rsidR="000D622A" w:rsidRPr="00E5425B">
        <w:rPr>
          <w:rFonts w:ascii="CG Omega" w:hAnsi="CG Omega"/>
        </w:rPr>
        <w:t>ontrolowanie zgodności realizacj</w:t>
      </w:r>
      <w:r w:rsidRPr="00E5425B">
        <w:rPr>
          <w:rFonts w:ascii="CG Omega" w:hAnsi="CG Omega"/>
        </w:rPr>
        <w:t xml:space="preserve">i </w:t>
      </w:r>
      <w:r w:rsidR="000D622A" w:rsidRPr="00E5425B">
        <w:rPr>
          <w:rFonts w:ascii="CG Omega" w:hAnsi="CG Omega"/>
        </w:rPr>
        <w:t>przedsięwzięcia</w:t>
      </w:r>
      <w:r w:rsidRPr="00E5425B">
        <w:rPr>
          <w:rFonts w:ascii="CG Omega" w:hAnsi="CG Omega"/>
        </w:rPr>
        <w:t xml:space="preserve"> inwestycyjnego zgodnie </w:t>
      </w:r>
      <w:r w:rsidR="000D622A" w:rsidRPr="00E5425B">
        <w:rPr>
          <w:rFonts w:ascii="CG Omega" w:hAnsi="CG Omega"/>
        </w:rPr>
        <w:t>z</w:t>
      </w:r>
      <w:r w:rsidRPr="00E5425B">
        <w:rPr>
          <w:rFonts w:ascii="CG Omega" w:hAnsi="CG Omega"/>
        </w:rPr>
        <w:t> </w:t>
      </w:r>
      <w:r w:rsidR="000D622A" w:rsidRPr="00E5425B">
        <w:rPr>
          <w:rFonts w:ascii="CG Omega" w:hAnsi="CG Omega"/>
        </w:rPr>
        <w:t>harmonogramem rzeczowo-finansowym.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k</w:t>
      </w:r>
      <w:r w:rsidR="000D622A" w:rsidRPr="00E5425B">
        <w:rPr>
          <w:rFonts w:ascii="CG Omega" w:hAnsi="CG Omega"/>
        </w:rPr>
        <w:t>ontrola jakości i ilości wykonanych robót i częściowe ich odbiory</w:t>
      </w:r>
      <w:r w:rsidRPr="00E5425B">
        <w:rPr>
          <w:rFonts w:ascii="CG Omega" w:hAnsi="CG Omega"/>
        </w:rPr>
        <w:t xml:space="preserve">, </w:t>
      </w:r>
      <w:r w:rsidR="000D622A" w:rsidRPr="00E5425B">
        <w:rPr>
          <w:rFonts w:ascii="CG Omega" w:hAnsi="CG Omega"/>
        </w:rPr>
        <w:t xml:space="preserve"> kontrola jakości zastosowanych materiałów i ich zgodności  z dokumentacją projektową oraz obowiązującymi przepisami o dopuszczeniu do obrotu.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s</w:t>
      </w:r>
      <w:r w:rsidR="000D622A" w:rsidRPr="00E5425B">
        <w:rPr>
          <w:rFonts w:ascii="CG Omega" w:hAnsi="CG Omega"/>
        </w:rPr>
        <w:t>prawdzanie i terminowe dokonywanie odbiorów robót zanikających i (lub) ulegających zakryciu.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s</w:t>
      </w:r>
      <w:r w:rsidR="000D622A" w:rsidRPr="00E5425B">
        <w:rPr>
          <w:rFonts w:ascii="CG Omega" w:hAnsi="CG Omega"/>
        </w:rPr>
        <w:t xml:space="preserve">tałe /co najmniej co tygodniowe/, w zakresie uzgodnionym z zamawiającym, prowadzenie cyfrowej dokumentacji fotograficznej wykonanych robót, w szczególności zanikających oraz w przypadkach wystąpienia ewentualnych usterek. Kopia dokumentacji powinna być przekazywana sukcesywnie zamawiającemu.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s</w:t>
      </w:r>
      <w:r w:rsidR="000D622A" w:rsidRPr="00E5425B">
        <w:rPr>
          <w:rFonts w:ascii="CG Omega" w:hAnsi="CG Omega"/>
        </w:rPr>
        <w:t>prawdzanie prawidłowości protokołu odbioru robót oraz faktury pod względem merytorycznym, formalno-rachunkowym oraz zgodności z zawartą umową z wykonawcą.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p</w:t>
      </w:r>
      <w:r w:rsidR="000D622A" w:rsidRPr="00E5425B">
        <w:rPr>
          <w:rFonts w:ascii="CG Omega" w:hAnsi="CG Omega"/>
        </w:rPr>
        <w:t xml:space="preserve">owiadamianie Zamawiającego o wszelkich odbiorach robót prowadzonych przez podmiot pełniący nadzór inwestorski.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z</w:t>
      </w:r>
      <w:r w:rsidR="000D622A" w:rsidRPr="00E5425B">
        <w:rPr>
          <w:rFonts w:ascii="CG Omega" w:hAnsi="CG Omega"/>
        </w:rPr>
        <w:t xml:space="preserve">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k</w:t>
      </w:r>
      <w:r w:rsidR="000D622A" w:rsidRPr="00E5425B">
        <w:rPr>
          <w:rFonts w:ascii="CG Omega" w:hAnsi="CG Omega"/>
        </w:rPr>
        <w:t>walifikowanie zasadności wykonania ewentualnych robót dodatkowych w uzgodnieniu z Zamawiającym, oraz dokonywanie ich wyceny wstępnej w zakresie umożliwiającym przygotowanie zlecenia  zgodnie z ustawą o zamówieniach publicznych oraz sprawdzenie wycen dokonywanych przez wykonawcę.</w:t>
      </w:r>
    </w:p>
    <w:p w:rsidR="00E5425B" w:rsidRP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  <w:color w:val="000000"/>
        </w:rPr>
        <w:t>o</w:t>
      </w:r>
      <w:r w:rsidR="000D622A" w:rsidRPr="00E5425B">
        <w:rPr>
          <w:rFonts w:ascii="CG Omega" w:hAnsi="CG Omega"/>
          <w:color w:val="000000"/>
        </w:rPr>
        <w:t>cena i weryfikacja propozycji robót dodatkowych, uzupełniających lub zamiennych zgłaszanych przez wykonawcę.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  <w:color w:val="000000"/>
        </w:rPr>
        <w:t>w</w:t>
      </w:r>
      <w:r w:rsidR="000D622A" w:rsidRPr="00E5425B">
        <w:rPr>
          <w:rFonts w:ascii="CG Omega" w:hAnsi="CG Omega"/>
          <w:color w:val="000000"/>
        </w:rPr>
        <w:t xml:space="preserve"> przypadku wystąpienia robót dodatkowych i/lub uzupełniających prowadzenie nadzoru </w:t>
      </w:r>
      <w:r w:rsidR="000D622A" w:rsidRPr="00E5425B">
        <w:rPr>
          <w:rFonts w:ascii="CG Omega" w:hAnsi="CG Omega"/>
        </w:rPr>
        <w:t>inwestorskiego nad ich realizacją w ramach zawartej umowy, bez dodatkowego wynagrodzenia.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o</w:t>
      </w:r>
      <w:r w:rsidR="000D622A" w:rsidRPr="00E5425B">
        <w:rPr>
          <w:rFonts w:ascii="CG Omega" w:hAnsi="CG Omega"/>
        </w:rPr>
        <w:t xml:space="preserve">pracowanie protokołów konieczności, oraz opinii i uzasadnień na roboty dodatkowe lub zamienne. 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  <w:color w:val="000000"/>
        </w:rPr>
        <w:t>w</w:t>
      </w:r>
      <w:r w:rsidR="000D622A" w:rsidRPr="00E5425B">
        <w:rPr>
          <w:rFonts w:ascii="CG Omega" w:hAnsi="CG Omega"/>
          <w:color w:val="000000"/>
        </w:rPr>
        <w:t>strzymanie dalszych robót budowlanych w przypadku, gdyby ich kontynuacja mogła wywołać</w:t>
      </w:r>
      <w:r w:rsidR="000D622A" w:rsidRPr="00E5425B">
        <w:rPr>
          <w:rFonts w:ascii="CG Omega" w:hAnsi="CG Omega"/>
        </w:rPr>
        <w:t xml:space="preserve"> </w:t>
      </w:r>
      <w:r w:rsidR="000D622A" w:rsidRPr="00E5425B">
        <w:rPr>
          <w:rFonts w:ascii="CG Omega" w:hAnsi="CG Omega"/>
          <w:color w:val="000000"/>
        </w:rPr>
        <w:t>zagrożenie lub spowodowałaby niedopuszczalną niezgodność z dokumentacją projektową</w:t>
      </w:r>
      <w:r w:rsidR="000D622A" w:rsidRPr="00E5425B">
        <w:rPr>
          <w:rFonts w:ascii="CG Omega" w:hAnsi="CG Omega"/>
        </w:rPr>
        <w:t>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u</w:t>
      </w:r>
      <w:r w:rsidR="000D622A" w:rsidRPr="00E5425B">
        <w:rPr>
          <w:rFonts w:ascii="CG Omega" w:hAnsi="CG Omega"/>
        </w:rPr>
        <w:t>czestniczenie w próbach i odbiorach technicznych instalacji, urządzeń technicznych oraz archiwizacja wszystkich protokołów prób i badań przeprowadzonych w trakcie budowy.</w:t>
      </w:r>
    </w:p>
    <w:p w:rsid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p</w:t>
      </w:r>
      <w:r w:rsidR="000D622A" w:rsidRPr="00E5425B">
        <w:rPr>
          <w:rFonts w:ascii="CG Omega" w:hAnsi="CG Omega"/>
        </w:rPr>
        <w:t xml:space="preserve">otwierdzanie faktycznie wykonanych robót oraz przygotowanie dokumentów do odbioru końcowego. </w:t>
      </w:r>
    </w:p>
    <w:p w:rsidR="00E5425B" w:rsidRP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  <w:color w:val="000000"/>
        </w:rPr>
        <w:t>p</w:t>
      </w:r>
      <w:r w:rsidR="000D622A" w:rsidRPr="00E5425B">
        <w:rPr>
          <w:rFonts w:ascii="CG Omega" w:hAnsi="CG Omega"/>
          <w:color w:val="000000"/>
        </w:rPr>
        <w:t xml:space="preserve">rzyjęcie od wykonawcy </w:t>
      </w:r>
      <w:r w:rsidR="000D622A" w:rsidRPr="00E5425B">
        <w:rPr>
          <w:rFonts w:ascii="CG Omega" w:hAnsi="CG Omega"/>
        </w:rPr>
        <w:t xml:space="preserve">inwentaryzacji powykonawczej uzbrojenia terenu i usytuowania obiektów kubaturowych oraz </w:t>
      </w:r>
      <w:r w:rsidR="000D622A" w:rsidRPr="00E5425B">
        <w:rPr>
          <w:rFonts w:ascii="CG Omega" w:hAnsi="CG Omega"/>
          <w:color w:val="000000"/>
        </w:rPr>
        <w:t>skompletowanej całościowej dokumentacji powykonawczej i  sprawdzenie jej kompletności poprzez dokonanie stosownej adnotacji.</w:t>
      </w:r>
    </w:p>
    <w:p w:rsidR="00E5425B" w:rsidRP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  <w:color w:val="000000"/>
        </w:rPr>
        <w:t>u</w:t>
      </w:r>
      <w:r w:rsidR="000D622A" w:rsidRPr="00E5425B">
        <w:rPr>
          <w:rFonts w:ascii="CG Omega" w:hAnsi="CG Omega"/>
          <w:color w:val="000000"/>
        </w:rPr>
        <w:t>czestniczenie w odbiorze końcowym, włącznie z przekazaniem zakończonego zadania Zamawiającemu i jego ostatecznym rozliczeniem.</w:t>
      </w:r>
    </w:p>
    <w:p w:rsidR="000D622A" w:rsidRPr="00E5425B" w:rsidRDefault="00E5425B" w:rsidP="00E5425B">
      <w:pPr>
        <w:pStyle w:val="Akapitzlist"/>
        <w:numPr>
          <w:ilvl w:val="2"/>
          <w:numId w:val="36"/>
        </w:numPr>
        <w:spacing w:after="0" w:line="240" w:lineRule="auto"/>
        <w:ind w:left="1134" w:hanging="708"/>
        <w:jc w:val="both"/>
        <w:rPr>
          <w:rFonts w:ascii="CG Omega" w:hAnsi="CG Omega"/>
        </w:rPr>
      </w:pPr>
      <w:r w:rsidRPr="00E5425B">
        <w:rPr>
          <w:rFonts w:ascii="CG Omega" w:hAnsi="CG Omega"/>
        </w:rPr>
        <w:t>d</w:t>
      </w:r>
      <w:r w:rsidR="000D622A" w:rsidRPr="00E5425B">
        <w:rPr>
          <w:rFonts w:ascii="CG Omega" w:hAnsi="CG Omega"/>
        </w:rPr>
        <w:t>okumentacja projektowa  dot. przedmiotowej inwestycji dostępna jest do wglądu w Urzędzie Gminy Wiązownica, pok. Nr 42  II p.</w:t>
      </w:r>
    </w:p>
    <w:p w:rsidR="00123B78" w:rsidRDefault="00123B78" w:rsidP="00123B78">
      <w:pPr>
        <w:spacing w:after="0" w:line="240" w:lineRule="auto"/>
        <w:ind w:left="1146"/>
        <w:jc w:val="both"/>
        <w:rPr>
          <w:rFonts w:ascii="CG Omega" w:hAnsi="CG Omega"/>
        </w:rPr>
      </w:pPr>
    </w:p>
    <w:p w:rsidR="00C45515" w:rsidRPr="001116A1" w:rsidRDefault="00C45515" w:rsidP="005816FB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>
        <w:rPr>
          <w:rFonts w:ascii="CG Omega" w:hAnsi="CG Omega" w:cs="Arial"/>
          <w:b/>
        </w:rPr>
        <w:t xml:space="preserve"> </w:t>
      </w:r>
      <w:r w:rsidR="00123B78">
        <w:rPr>
          <w:rFonts w:ascii="CG Omega" w:hAnsi="CG Omega" w:cs="Arial"/>
          <w:b/>
        </w:rPr>
        <w:t>1 106 919,28</w:t>
      </w:r>
      <w:r w:rsidR="007E5331"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 xml:space="preserve">zł. </w:t>
      </w:r>
      <w:r w:rsidR="007E5331"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</w:p>
    <w:p w:rsidR="00C45515" w:rsidRPr="007E5331" w:rsidRDefault="00C45515" w:rsidP="007E5331">
      <w:pPr>
        <w:spacing w:after="0" w:line="240" w:lineRule="auto"/>
        <w:jc w:val="both"/>
        <w:rPr>
          <w:rFonts w:ascii="CG Omega" w:hAnsi="CG Omega" w:cs="Calibri"/>
          <w:b/>
          <w:color w:val="000000"/>
        </w:rPr>
      </w:pP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lastRenderedPageBreak/>
        <w:t xml:space="preserve">       </w:t>
      </w:r>
      <w:r w:rsidR="005816FB">
        <w:rPr>
          <w:rFonts w:ascii="CG Omega" w:hAnsi="CG Omega"/>
        </w:rPr>
        <w:tab/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943E3A" w:rsidRDefault="0046186B" w:rsidP="007E533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Tahoma"/>
        </w:rPr>
        <w:t xml:space="preserve">        </w:t>
      </w:r>
      <w:r w:rsidR="005816FB">
        <w:rPr>
          <w:rFonts w:ascii="CG Omega" w:hAnsi="CG Omega" w:cs="Tahoma"/>
        </w:rPr>
        <w:tab/>
      </w:r>
      <w:r w:rsidR="007E5331">
        <w:rPr>
          <w:rFonts w:ascii="CG Omega" w:hAnsi="CG Omega"/>
        </w:rPr>
        <w:t>71520000-9  Usługi nadzoru budowlanego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Zakończenie pełnienia nadzoru inwestorskiego nastąpi  po zakończeniu i dokonanym odbiorze robót oraz rozliczeniu budowy z Wykonawcą. </w:t>
      </w:r>
    </w:p>
    <w:p w:rsidR="00123B78" w:rsidRP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Przewidywany termin zakończenia realizacji nadzorowanej inwestycji do dnia </w:t>
      </w:r>
      <w:r w:rsidR="00123B78" w:rsidRPr="00123B78">
        <w:rPr>
          <w:rFonts w:ascii="CG Omega" w:hAnsi="CG Omega"/>
          <w:b/>
        </w:rPr>
        <w:t>30.12.2020</w:t>
      </w:r>
      <w:r w:rsidRPr="00123B78">
        <w:rPr>
          <w:rFonts w:ascii="CG Omega" w:hAnsi="CG Omega"/>
          <w:b/>
        </w:rPr>
        <w:t xml:space="preserve"> r.</w:t>
      </w:r>
      <w:r w:rsidRPr="00123B78">
        <w:rPr>
          <w:rFonts w:ascii="CG Omega" w:hAnsi="CG Omega"/>
        </w:rPr>
        <w:t xml:space="preserve">   </w:t>
      </w:r>
      <w:r w:rsidRPr="00123B78">
        <w:rPr>
          <w:rFonts w:ascii="CG Omega" w:hAnsi="CG Omega"/>
          <w:b/>
        </w:rPr>
        <w:t xml:space="preserve">  </w:t>
      </w:r>
    </w:p>
    <w:p w:rsidR="00123B78" w:rsidRP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Przewidywany termin zakończenia robót budowlanych do dnia </w:t>
      </w:r>
      <w:r w:rsidR="00123B78" w:rsidRPr="00123B78">
        <w:rPr>
          <w:rFonts w:ascii="CG Omega" w:hAnsi="CG Omega"/>
          <w:b/>
        </w:rPr>
        <w:t>10.12.2020</w:t>
      </w:r>
      <w:r w:rsidRPr="00123B78">
        <w:rPr>
          <w:rFonts w:ascii="CG Omega" w:hAnsi="CG Omega"/>
          <w:b/>
        </w:rPr>
        <w:t xml:space="preserve"> r. 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>Termin zakończenia robót budowlanych rozumiany jest jako data zgłoszenia Zamawiającemu gotowości do odbioru końcowego wraz z kompletną dokumentacją odbiorową.</w:t>
      </w:r>
    </w:p>
    <w:p w:rsidR="000D622A" w:rsidRP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W przypadku przedłużenia terminu realizacji robót budowlanych, Wykonawca będzie pełnił </w:t>
      </w:r>
      <w:r w:rsidRPr="00123B78">
        <w:rPr>
          <w:rFonts w:ascii="CG Omega" w:hAnsi="CG Omega"/>
          <w:b/>
        </w:rPr>
        <w:t>bez dodatkowego wynagrodzenia</w:t>
      </w:r>
      <w:r w:rsidRPr="00123B78">
        <w:rPr>
          <w:rFonts w:ascii="CG Omega" w:hAnsi="CG Omega"/>
        </w:rPr>
        <w:t xml:space="preserve"> funkcję inspektora nadzoru inwestorskiego w zakresie określonym w niniejszej Umowie, do czasu zakończenia i odbioru wszystkich robót  budowlanych, ewentualnych robót dodatkowych i uzupełniających.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6B29BC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>co najmniej 1 osobą</w:t>
      </w:r>
      <w:r w:rsidR="006B29BC">
        <w:rPr>
          <w:rFonts w:ascii="CG Omega" w:hAnsi="CG Omega"/>
        </w:rPr>
        <w:t xml:space="preserve"> </w:t>
      </w:r>
      <w:r w:rsidR="006B29BC" w:rsidRPr="00B13AEB">
        <w:rPr>
          <w:rFonts w:ascii="CG Omega" w:hAnsi="CG Omega"/>
        </w:rPr>
        <w:t>w specjalnoś</w:t>
      </w:r>
      <w:r w:rsidR="006B29BC">
        <w:rPr>
          <w:rFonts w:ascii="CG Omega" w:hAnsi="CG Omega"/>
        </w:rPr>
        <w:t xml:space="preserve">ci konstrukcyjno-budowlanej, </w:t>
      </w:r>
      <w:r w:rsidR="00DD76A2">
        <w:rPr>
          <w:rFonts w:ascii="CG Omega" w:hAnsi="CG Omega"/>
        </w:rPr>
        <w:t>posiadająca</w:t>
      </w:r>
      <w:r w:rsidR="006B29BC">
        <w:rPr>
          <w:rFonts w:ascii="CG Omega" w:hAnsi="CG Omega"/>
        </w:rPr>
        <w:t xml:space="preserve">             </w:t>
      </w:r>
      <w:r w:rsidR="006B29BC" w:rsidRPr="00B13AEB">
        <w:rPr>
          <w:rFonts w:ascii="CG Omega" w:hAnsi="CG Omega"/>
        </w:rPr>
        <w:t>upr</w:t>
      </w:r>
      <w:r w:rsidR="00DD76A2">
        <w:rPr>
          <w:rFonts w:ascii="CG Omega" w:hAnsi="CG Omega"/>
        </w:rPr>
        <w:t>awnienia</w:t>
      </w:r>
      <w:r w:rsidR="006B29BC">
        <w:rPr>
          <w:rFonts w:ascii="CG Omega" w:hAnsi="CG Omega"/>
        </w:rPr>
        <w:t xml:space="preserve"> budowlane w specjalności konstrukcyjno-</w:t>
      </w:r>
      <w:r w:rsidR="00D529C7">
        <w:rPr>
          <w:rFonts w:ascii="CG Omega" w:hAnsi="CG Omega"/>
        </w:rPr>
        <w:t>budowlanej bez ograniczeń</w:t>
      </w:r>
      <w:r w:rsidR="00DD76A2">
        <w:rPr>
          <w:rFonts w:ascii="CG Omega" w:hAnsi="CG Omega"/>
        </w:rPr>
        <w:t xml:space="preserve">, </w:t>
      </w:r>
    </w:p>
    <w:p w:rsidR="006B29BC" w:rsidRPr="00B13AEB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 w:rsidRPr="00B13AEB">
        <w:rPr>
          <w:rFonts w:ascii="CG Omega" w:hAnsi="CG Omega"/>
        </w:rPr>
        <w:t>w specjalności instalacyjnej</w:t>
      </w:r>
      <w:r w:rsidR="006B29BC">
        <w:rPr>
          <w:rFonts w:ascii="CG Omega" w:hAnsi="CG Omega"/>
        </w:rPr>
        <w:t xml:space="preserve">, posiadająca uprawnienia budowlane </w:t>
      </w:r>
      <w:r w:rsidR="006B29BC" w:rsidRPr="00B13AEB">
        <w:rPr>
          <w:rFonts w:ascii="CG Omega" w:hAnsi="CG Omega"/>
        </w:rPr>
        <w:t xml:space="preserve"> 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wodociągowych, kanalizacyjnych, ci</w:t>
      </w:r>
      <w:r w:rsidR="006B29BC">
        <w:rPr>
          <w:rFonts w:ascii="CG Omega" w:hAnsi="CG Omega"/>
        </w:rPr>
        <w:t>eplnych i</w:t>
      </w:r>
      <w:r>
        <w:rPr>
          <w:rFonts w:ascii="CG Omega" w:hAnsi="CG Omega"/>
        </w:rPr>
        <w:t> </w:t>
      </w:r>
      <w:r w:rsidR="006B29BC">
        <w:rPr>
          <w:rFonts w:ascii="CG Omega" w:hAnsi="CG Omega"/>
        </w:rPr>
        <w:t>wentylacyjnych,</w:t>
      </w:r>
      <w:r w:rsidR="00D529C7">
        <w:rPr>
          <w:rFonts w:ascii="CG Omega" w:hAnsi="CG Omega"/>
        </w:rPr>
        <w:t xml:space="preserve"> </w:t>
      </w:r>
    </w:p>
    <w:p w:rsidR="006B29BC" w:rsidRPr="00B34CD5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>
        <w:rPr>
          <w:rFonts w:ascii="CG Omega" w:hAnsi="CG Omega"/>
        </w:rPr>
        <w:t xml:space="preserve">w specjalności instalacyjnej, posiadająca uprawnienia budowlane </w:t>
      </w:r>
      <w:r w:rsidR="006B29BC" w:rsidRPr="00B13AEB">
        <w:rPr>
          <w:rFonts w:ascii="CG Omega" w:hAnsi="CG Omega"/>
        </w:rPr>
        <w:t>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elektrycznyc</w:t>
      </w:r>
      <w:r w:rsidR="00123B78">
        <w:rPr>
          <w:rFonts w:ascii="CG Omega" w:hAnsi="CG Omega"/>
        </w:rPr>
        <w:t>h i elektroenergetycznych</w:t>
      </w:r>
      <w:r w:rsidR="00D529C7">
        <w:rPr>
          <w:rFonts w:ascii="CG Omega" w:hAnsi="CG Omega"/>
        </w:rPr>
        <w:t>,</w:t>
      </w:r>
    </w:p>
    <w:p w:rsidR="006B29BC" w:rsidRPr="00D45F55" w:rsidRDefault="006B29BC" w:rsidP="00E5425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Year" w:val="2008"/>
          <w:attr w:name="Day" w:val="18"/>
          <w:attr w:name="Month" w:val="3"/>
          <w:attr w:name="ls" w:val="trans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AA2DBE" w:rsidRPr="00AA2DBE" w:rsidRDefault="00AA2DBE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oświadczenia o spełnianiu warunków udziału w postępowaniu,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 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wykaz osób, którymi dysponuje lub będzie dysponował wykonawca i które  będą  brały udział w wykonywaniu zamówienia  wraz z informacjami na temat ich kwalifikacji zawodowych, doświadczenia i wykształcenia niezbędnego do wykonania  zamówienia, a także zakresu  wykonywanych przez nich czynności.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RODO,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B44D66" w:rsidRDefault="00B44D66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</w:rPr>
        <w:t>zobowiązanie do udostępnienia zasobów,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                   wynika  bezpośrednio ze złożonego w oferci</w:t>
      </w:r>
      <w:r>
        <w:rPr>
          <w:rFonts w:ascii="CG Omega" w:hAnsi="CG Omega"/>
        </w:rPr>
        <w:t>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6D69AF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A05744" w:rsidRPr="00A05744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10.3.1</w:t>
      </w:r>
      <w:r w:rsidRPr="00A05744">
        <w:rPr>
          <w:rFonts w:ascii="CG Omega" w:hAnsi="CG Omega"/>
        </w:rPr>
        <w:tab/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spacing w:after="0" w:line="240" w:lineRule="auto"/>
        <w:ind w:left="420" w:firstLine="288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10.3.2</w:t>
      </w:r>
      <w:r w:rsidRPr="00A05744">
        <w:rPr>
          <w:rFonts w:ascii="CG Omega" w:hAnsi="CG Omega"/>
        </w:rPr>
        <w:tab/>
        <w:t>dokumenty wymienione w rozdziale VII.</w:t>
      </w:r>
    </w:p>
    <w:p w:rsidR="00A05744" w:rsidRPr="00296137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10.3.3</w:t>
      </w:r>
      <w:r w:rsidRPr="00A05744">
        <w:rPr>
          <w:rFonts w:ascii="CG Omega" w:hAnsi="CG Omega"/>
        </w:rPr>
        <w:tab/>
        <w:t>Pełnomocnictwo(a) - w przypadku, gdy upoważnienie do podpisania oferty nie wynika  bezpośrednio ze złożonego w ofercie odpisu z właściwego rejestru.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43E3A" w:rsidRPr="00EF30DA" w:rsidTr="001F4E6E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1F4E6E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>Oferta na zadanie pn.:</w:t>
            </w:r>
            <w:r w:rsidR="001F4E6E">
              <w:rPr>
                <w:rFonts w:ascii="CG Omega" w:hAnsi="CG Omega"/>
                <w:b/>
                <w:bCs/>
              </w:rPr>
              <w:t xml:space="preserve"> </w:t>
            </w:r>
            <w:r w:rsidR="0010229F">
              <w:rPr>
                <w:rFonts w:ascii="CG Omega" w:hAnsi="CG Omega"/>
                <w:b/>
                <w:bCs/>
              </w:rPr>
              <w:t xml:space="preserve">Usługa nadzoru inwestorskiego na zadaniu inwestycyjnym </w:t>
            </w:r>
            <w:proofErr w:type="spellStart"/>
            <w:r w:rsidR="0010229F">
              <w:rPr>
                <w:rFonts w:ascii="CG Omega" w:hAnsi="CG Omega"/>
                <w:b/>
                <w:bCs/>
              </w:rPr>
              <w:t>pn</w:t>
            </w:r>
            <w:proofErr w:type="spellEnd"/>
            <w:r w:rsidR="0010229F">
              <w:rPr>
                <w:rFonts w:ascii="CG Omega" w:hAnsi="CG Omega"/>
                <w:b/>
                <w:bCs/>
              </w:rPr>
              <w:t xml:space="preserve">: </w:t>
            </w:r>
            <w:r w:rsidR="00D529C7">
              <w:rPr>
                <w:rFonts w:ascii="CG Omega" w:hAnsi="CG Omega"/>
                <w:b/>
              </w:rPr>
              <w:t>Budowa kanalizacji sanitarnej wraz z przyłączami w m. Cetula – etap I</w:t>
            </w:r>
            <w:r w:rsidR="00903F24" w:rsidRPr="001F4E6E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D529C7">
              <w:rPr>
                <w:rFonts w:ascii="CG Omega" w:hAnsi="CG Omega"/>
                <w:b/>
                <w:sz w:val="22"/>
                <w:szCs w:val="22"/>
              </w:rPr>
              <w:t xml:space="preserve"> 20.08</w:t>
            </w:r>
            <w:r w:rsidR="00745A6F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0D4F3D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54FB5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D529C7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ab/>
        <w:t>w terminie do dnia 20-08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10229F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 xml:space="preserve">   </w:t>
      </w:r>
      <w:r w:rsidR="00D529C7">
        <w:rPr>
          <w:rFonts w:ascii="CG Omega" w:eastAsiaTheme="minorHAnsi" w:hAnsi="CG Omega" w:cs="Arial"/>
          <w:b/>
        </w:rPr>
        <w:tab/>
        <w:t>do dnia 20-08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lastRenderedPageBreak/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B54FB5" w:rsidRDefault="005F49F2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lastRenderedPageBreak/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 lub w miejscu publicznie dostępnym w swojej siedzibie 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Przedłużenie terminu składania ofert nie wpływa na bieg terminu składania wniosku, o którym mowa w ust. 7.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383F93">
      <w:pPr>
        <w:spacing w:after="0" w:line="240" w:lineRule="auto"/>
        <w:ind w:left="709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383F93">
        <w:rPr>
          <w:rFonts w:ascii="CG Omega" w:hAnsi="CG Omega"/>
          <w:b/>
          <w:bCs/>
        </w:rPr>
        <w:t xml:space="preserve">Usługa nadzoru inwestorskiego na zadaniu inwestycyjnym </w:t>
      </w:r>
      <w:proofErr w:type="spellStart"/>
      <w:r w:rsidR="00383F93">
        <w:rPr>
          <w:rFonts w:ascii="CG Omega" w:hAnsi="CG Omega"/>
          <w:b/>
          <w:bCs/>
        </w:rPr>
        <w:t>pn</w:t>
      </w:r>
      <w:proofErr w:type="spellEnd"/>
      <w:r w:rsidR="00383F93">
        <w:rPr>
          <w:rFonts w:ascii="CG Omega" w:hAnsi="CG Omega"/>
          <w:b/>
          <w:bCs/>
        </w:rPr>
        <w:t xml:space="preserve">: </w:t>
      </w:r>
      <w:r w:rsidR="00D529C7">
        <w:rPr>
          <w:rFonts w:ascii="CG Omega" w:hAnsi="CG Omega"/>
          <w:b/>
        </w:rPr>
        <w:t>Budowa kanalizacji sanitarnej wraz z przyłączami w m. Cetula – etap I</w:t>
      </w:r>
      <w:r w:rsidR="00383F93" w:rsidRPr="001F4E6E">
        <w:rPr>
          <w:rFonts w:ascii="CG Omega" w:hAnsi="CG Omega" w:cs="Arial"/>
          <w:b/>
        </w:rPr>
        <w:t>.</w:t>
      </w:r>
    </w:p>
    <w:p w:rsidR="001C4855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8801C4">
        <w:rPr>
          <w:rFonts w:ascii="CG Omega" w:hAnsi="CG Omega"/>
        </w:rPr>
        <w:t>O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4C2DD3" w:rsidRDefault="004C2DD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bookmarkStart w:id="0" w:name="_GoBack"/>
      <w:bookmarkEnd w:id="0"/>
      <w:r>
        <w:rPr>
          <w:rFonts w:ascii="CG Omega" w:hAnsi="CG Omega"/>
        </w:rPr>
        <w:t>obowiązanie</w:t>
      </w:r>
    </w:p>
    <w:p w:rsidR="0014398E" w:rsidRPr="006F0E21" w:rsidRDefault="0014398E" w:rsidP="006F0E21"/>
    <w:sectPr w:rsidR="0014398E" w:rsidRPr="006F0E21" w:rsidSect="0014398E">
      <w:headerReference w:type="default" r:id="rId10"/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A3" w:rsidRDefault="009143A3" w:rsidP="00943E3A">
      <w:pPr>
        <w:spacing w:after="0" w:line="240" w:lineRule="auto"/>
      </w:pPr>
      <w:r>
        <w:separator/>
      </w:r>
    </w:p>
  </w:endnote>
  <w:endnote w:type="continuationSeparator" w:id="0">
    <w:p w:rsidR="009143A3" w:rsidRDefault="009143A3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A3" w:rsidRDefault="009143A3" w:rsidP="00943E3A">
      <w:pPr>
        <w:spacing w:after="0" w:line="240" w:lineRule="auto"/>
      </w:pPr>
      <w:r>
        <w:separator/>
      </w:r>
    </w:p>
  </w:footnote>
  <w:footnote w:type="continuationSeparator" w:id="0">
    <w:p w:rsidR="009143A3" w:rsidRDefault="009143A3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42199B" w:rsidRPr="0042199B" w:rsidTr="001F2F1E">
      <w:trPr>
        <w:trHeight w:val="1379"/>
      </w:trPr>
      <w:tc>
        <w:tcPr>
          <w:tcW w:w="2939" w:type="dxa"/>
        </w:tcPr>
        <w:p w:rsidR="0042199B" w:rsidRPr="0042199B" w:rsidRDefault="0042199B" w:rsidP="0042199B">
          <w:pPr>
            <w:spacing w:after="0" w:line="240" w:lineRule="auto"/>
            <w:rPr>
              <w:rFonts w:asciiTheme="minorHAnsi" w:eastAsiaTheme="minorHAnsi" w:hAnsiTheme="minorHAnsi" w:cstheme="minorBidi"/>
            </w:rPr>
          </w:pPr>
          <w:r w:rsidRPr="0042199B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7F1EBFD7" wp14:editId="59B28F8B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42199B" w:rsidRPr="0042199B" w:rsidRDefault="0042199B" w:rsidP="0042199B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 w:rsidRPr="0042199B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3239ABD4" wp14:editId="69819FCE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42199B" w:rsidRPr="0042199B" w:rsidRDefault="0042199B" w:rsidP="0042199B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</w:rPr>
          </w:pPr>
          <w:r w:rsidRPr="0042199B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2CDCA017" wp14:editId="26F66EA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99B" w:rsidRDefault="00421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A5D25"/>
    <w:multiLevelType w:val="multilevel"/>
    <w:tmpl w:val="510463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15"/>
  </w:num>
  <w:num w:numId="5">
    <w:abstractNumId w:val="27"/>
  </w:num>
  <w:num w:numId="6">
    <w:abstractNumId w:val="7"/>
  </w:num>
  <w:num w:numId="7">
    <w:abstractNumId w:val="4"/>
  </w:num>
  <w:num w:numId="8">
    <w:abstractNumId w:val="2"/>
  </w:num>
  <w:num w:numId="9">
    <w:abstractNumId w:val="30"/>
  </w:num>
  <w:num w:numId="10">
    <w:abstractNumId w:val="24"/>
  </w:num>
  <w:num w:numId="11">
    <w:abstractNumId w:val="14"/>
  </w:num>
  <w:num w:numId="12">
    <w:abstractNumId w:val="20"/>
  </w:num>
  <w:num w:numId="13">
    <w:abstractNumId w:val="1"/>
  </w:num>
  <w:num w:numId="14">
    <w:abstractNumId w:val="8"/>
  </w:num>
  <w:num w:numId="15">
    <w:abstractNumId w:val="22"/>
  </w:num>
  <w:num w:numId="16">
    <w:abstractNumId w:val="33"/>
  </w:num>
  <w:num w:numId="17">
    <w:abstractNumId w:val="12"/>
  </w:num>
  <w:num w:numId="18">
    <w:abstractNumId w:val="35"/>
  </w:num>
  <w:num w:numId="19">
    <w:abstractNumId w:val="18"/>
  </w:num>
  <w:num w:numId="20">
    <w:abstractNumId w:val="28"/>
  </w:num>
  <w:num w:numId="21">
    <w:abstractNumId w:val="10"/>
  </w:num>
  <w:num w:numId="22">
    <w:abstractNumId w:val="32"/>
  </w:num>
  <w:num w:numId="23">
    <w:abstractNumId w:val="34"/>
  </w:num>
  <w:num w:numId="24">
    <w:abstractNumId w:val="5"/>
  </w:num>
  <w:num w:numId="25">
    <w:abstractNumId w:val="21"/>
  </w:num>
  <w:num w:numId="26">
    <w:abstractNumId w:val="31"/>
  </w:num>
  <w:num w:numId="27">
    <w:abstractNumId w:val="19"/>
  </w:num>
  <w:num w:numId="28">
    <w:abstractNumId w:val="17"/>
  </w:num>
  <w:num w:numId="29">
    <w:abstractNumId w:val="0"/>
  </w:num>
  <w:num w:numId="30">
    <w:abstractNumId w:val="26"/>
  </w:num>
  <w:num w:numId="31">
    <w:abstractNumId w:val="23"/>
  </w:num>
  <w:num w:numId="32">
    <w:abstractNumId w:val="6"/>
  </w:num>
  <w:num w:numId="33">
    <w:abstractNumId w:val="29"/>
  </w:num>
  <w:num w:numId="34">
    <w:abstractNumId w:val="11"/>
  </w:num>
  <w:num w:numId="35">
    <w:abstractNumId w:val="3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451ED"/>
    <w:rsid w:val="00053395"/>
    <w:rsid w:val="00055792"/>
    <w:rsid w:val="0007266B"/>
    <w:rsid w:val="00086CF0"/>
    <w:rsid w:val="000873EE"/>
    <w:rsid w:val="000B7CE2"/>
    <w:rsid w:val="000C13A9"/>
    <w:rsid w:val="000C23E7"/>
    <w:rsid w:val="000C3C52"/>
    <w:rsid w:val="000D4F3D"/>
    <w:rsid w:val="000D622A"/>
    <w:rsid w:val="000E1A9F"/>
    <w:rsid w:val="000E41B8"/>
    <w:rsid w:val="0010229F"/>
    <w:rsid w:val="00123B7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24F4C"/>
    <w:rsid w:val="00263344"/>
    <w:rsid w:val="00285AA0"/>
    <w:rsid w:val="00296137"/>
    <w:rsid w:val="002A0BE0"/>
    <w:rsid w:val="002A48D1"/>
    <w:rsid w:val="002A6EC1"/>
    <w:rsid w:val="002B3E11"/>
    <w:rsid w:val="002B48F4"/>
    <w:rsid w:val="002C6565"/>
    <w:rsid w:val="002D33B6"/>
    <w:rsid w:val="002E734A"/>
    <w:rsid w:val="00310CA8"/>
    <w:rsid w:val="00315DF4"/>
    <w:rsid w:val="00340DAD"/>
    <w:rsid w:val="00345C78"/>
    <w:rsid w:val="0036521E"/>
    <w:rsid w:val="00370221"/>
    <w:rsid w:val="00383F93"/>
    <w:rsid w:val="003A0BEC"/>
    <w:rsid w:val="003F3BAF"/>
    <w:rsid w:val="0041651C"/>
    <w:rsid w:val="0042199B"/>
    <w:rsid w:val="00426C63"/>
    <w:rsid w:val="0043010F"/>
    <w:rsid w:val="00431F58"/>
    <w:rsid w:val="0043322B"/>
    <w:rsid w:val="00433547"/>
    <w:rsid w:val="00441D05"/>
    <w:rsid w:val="0044240B"/>
    <w:rsid w:val="004570CB"/>
    <w:rsid w:val="0046186B"/>
    <w:rsid w:val="0048364B"/>
    <w:rsid w:val="00491307"/>
    <w:rsid w:val="004B45DA"/>
    <w:rsid w:val="004C026B"/>
    <w:rsid w:val="004C2DD3"/>
    <w:rsid w:val="004C42B7"/>
    <w:rsid w:val="004C73C4"/>
    <w:rsid w:val="004D6415"/>
    <w:rsid w:val="00500CF6"/>
    <w:rsid w:val="005111AA"/>
    <w:rsid w:val="005120DA"/>
    <w:rsid w:val="005418BD"/>
    <w:rsid w:val="005735DB"/>
    <w:rsid w:val="005816FB"/>
    <w:rsid w:val="005B5371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60D5F"/>
    <w:rsid w:val="006656D9"/>
    <w:rsid w:val="0068298E"/>
    <w:rsid w:val="006A66C0"/>
    <w:rsid w:val="006B29BC"/>
    <w:rsid w:val="006D69AF"/>
    <w:rsid w:val="006F0E21"/>
    <w:rsid w:val="00707167"/>
    <w:rsid w:val="00722CAF"/>
    <w:rsid w:val="00735F83"/>
    <w:rsid w:val="00745A6F"/>
    <w:rsid w:val="0078317F"/>
    <w:rsid w:val="0079195E"/>
    <w:rsid w:val="007D0E8B"/>
    <w:rsid w:val="007E5331"/>
    <w:rsid w:val="008041CB"/>
    <w:rsid w:val="00806C71"/>
    <w:rsid w:val="00810307"/>
    <w:rsid w:val="008408BC"/>
    <w:rsid w:val="00866E9C"/>
    <w:rsid w:val="00872F50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143A3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F4094"/>
    <w:rsid w:val="00A05744"/>
    <w:rsid w:val="00A10642"/>
    <w:rsid w:val="00A33A37"/>
    <w:rsid w:val="00A37164"/>
    <w:rsid w:val="00A82B8E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7BF9"/>
    <w:rsid w:val="00B31E05"/>
    <w:rsid w:val="00B341A1"/>
    <w:rsid w:val="00B44D66"/>
    <w:rsid w:val="00B46E80"/>
    <w:rsid w:val="00B5295B"/>
    <w:rsid w:val="00B54FB5"/>
    <w:rsid w:val="00B82AE7"/>
    <w:rsid w:val="00B8389D"/>
    <w:rsid w:val="00BA69E7"/>
    <w:rsid w:val="00BA7815"/>
    <w:rsid w:val="00BB3632"/>
    <w:rsid w:val="00BC5E0B"/>
    <w:rsid w:val="00BF4E60"/>
    <w:rsid w:val="00C17E15"/>
    <w:rsid w:val="00C320C3"/>
    <w:rsid w:val="00C45515"/>
    <w:rsid w:val="00C711A0"/>
    <w:rsid w:val="00C81C05"/>
    <w:rsid w:val="00C82681"/>
    <w:rsid w:val="00C839D1"/>
    <w:rsid w:val="00CA401A"/>
    <w:rsid w:val="00CB17CC"/>
    <w:rsid w:val="00CB59A2"/>
    <w:rsid w:val="00CC72C5"/>
    <w:rsid w:val="00CD2807"/>
    <w:rsid w:val="00CD30EE"/>
    <w:rsid w:val="00CF26EE"/>
    <w:rsid w:val="00CF32A5"/>
    <w:rsid w:val="00D529C7"/>
    <w:rsid w:val="00D60C09"/>
    <w:rsid w:val="00D759C9"/>
    <w:rsid w:val="00DA51ED"/>
    <w:rsid w:val="00DB573A"/>
    <w:rsid w:val="00DC53F3"/>
    <w:rsid w:val="00DD76A2"/>
    <w:rsid w:val="00DF2A08"/>
    <w:rsid w:val="00E02F66"/>
    <w:rsid w:val="00E1433A"/>
    <w:rsid w:val="00E23EB9"/>
    <w:rsid w:val="00E27225"/>
    <w:rsid w:val="00E5425B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324B-1381-49FC-80E5-CB3238F8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5303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116</cp:revision>
  <cp:lastPrinted>2019-09-25T06:11:00Z</cp:lastPrinted>
  <dcterms:created xsi:type="dcterms:W3CDTF">2019-03-28T08:53:00Z</dcterms:created>
  <dcterms:modified xsi:type="dcterms:W3CDTF">2020-08-12T06:39:00Z</dcterms:modified>
</cp:coreProperties>
</file>