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8475B8">
        <w:rPr>
          <w:rFonts w:ascii="CG Omega" w:hAnsi="CG Omega" w:cs="Gautami"/>
          <w:b/>
        </w:rPr>
        <w:t>IZ.271.I.4</w:t>
      </w:r>
      <w:r w:rsidR="00486A4F">
        <w:rPr>
          <w:rFonts w:ascii="CG Omega" w:hAnsi="CG Omega" w:cs="Gautami"/>
          <w:b/>
        </w:rPr>
        <w:t>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8475B8" w:rsidRPr="00A71A0E" w:rsidRDefault="008475B8" w:rsidP="008475B8">
      <w:pPr>
        <w:ind w:left="180"/>
        <w:jc w:val="center"/>
        <w:rPr>
          <w:rFonts w:ascii="CG Omega" w:hAnsi="CG Omega"/>
          <w:b/>
        </w:rPr>
      </w:pPr>
      <w:r w:rsidRPr="00C13C4E">
        <w:rPr>
          <w:rFonts w:ascii="Arial" w:hAnsi="Arial" w:cs="Arial"/>
          <w:b/>
        </w:rPr>
        <w:t>„</w:t>
      </w:r>
      <w:r>
        <w:rPr>
          <w:rFonts w:ascii="CG Omega" w:hAnsi="CG Omega"/>
          <w:b/>
        </w:rPr>
        <w:t>Ś</w:t>
      </w:r>
      <w:r w:rsidRPr="00C13C4E">
        <w:rPr>
          <w:rFonts w:ascii="CG Omega" w:hAnsi="CG Omega"/>
          <w:b/>
        </w:rPr>
        <w:t>wiadczenie usług obejmujących wycenę nieruchomości, na potrzeby związane z bieżącą gospodarką ni</w:t>
      </w:r>
      <w:r>
        <w:rPr>
          <w:rFonts w:ascii="CG Omega" w:hAnsi="CG Omega"/>
          <w:b/>
        </w:rPr>
        <w:t>eruchomościami w  Gminie</w:t>
      </w:r>
      <w:r w:rsidRPr="00C13C4E">
        <w:rPr>
          <w:rFonts w:ascii="CG Omega" w:hAnsi="CG Omega"/>
          <w:b/>
        </w:rPr>
        <w:t xml:space="preserve"> Wiązownica</w:t>
      </w:r>
      <w:r>
        <w:rPr>
          <w:rFonts w:ascii="Arial" w:hAnsi="Arial" w:cs="Arial"/>
          <w:b/>
        </w:rPr>
        <w:t xml:space="preserve"> </w:t>
      </w:r>
      <w:r>
        <w:rPr>
          <w:rFonts w:ascii="CG Omega" w:hAnsi="CG Omega"/>
          <w:b/>
          <w:bCs/>
        </w:rPr>
        <w:t>w  2020 r.”</w:t>
      </w:r>
    </w:p>
    <w:p w:rsidR="00177802" w:rsidRPr="008475B8" w:rsidRDefault="008475B8" w:rsidP="008475B8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bCs/>
          <w:sz w:val="24"/>
          <w:szCs w:val="24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486A4F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86A4F" w:rsidRDefault="00486A4F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404905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8475B8">
        <w:rPr>
          <w:rFonts w:ascii="CG Omega" w:hAnsi="CG Omega"/>
        </w:rPr>
        <w:t xml:space="preserve"> dn. 15</w:t>
      </w:r>
      <w:r w:rsidR="00486A4F">
        <w:rPr>
          <w:rFonts w:ascii="CG Omega" w:hAnsi="CG Omega"/>
        </w:rPr>
        <w:t>.01.2020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486A4F" w:rsidRPr="00486A4F" w:rsidRDefault="00966896" w:rsidP="00486A4F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486A4F" w:rsidRPr="00486A4F">
        <w:rPr>
          <w:rFonts w:ascii="CG Omega" w:eastAsia="Times New Roman" w:hAnsi="CG Omega"/>
          <w:lang w:eastAsia="pl-PL"/>
        </w:rPr>
        <w:t xml:space="preserve">Zgodnie z art. 4. pkt. 8 ustawy z dnia 29 stycznia 2004 r. – Prawo zamówień publicznych (tj. Dz. U. z 2019 r., poz. 1843) przy udzielaniu niniejszego Zamówienia  ustawy nie stosuje się. </w:t>
      </w:r>
    </w:p>
    <w:p w:rsidR="00486A4F" w:rsidRPr="00486A4F" w:rsidRDefault="00486A4F" w:rsidP="00486A4F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 o wartości poniżej 30 000 Euro.</w:t>
      </w:r>
    </w:p>
    <w:p w:rsidR="00177802" w:rsidRDefault="00177802" w:rsidP="00486A4F">
      <w:pPr>
        <w:spacing w:after="0" w:line="240" w:lineRule="auto"/>
        <w:ind w:left="705"/>
        <w:jc w:val="both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486A4F" w:rsidRPr="00486A4F" w:rsidRDefault="006D69AF" w:rsidP="00486A4F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8475B8" w:rsidRPr="00B140D6" w:rsidRDefault="008475B8" w:rsidP="008475B8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</w:t>
      </w:r>
      <w:r w:rsidRPr="00AE6565">
        <w:rPr>
          <w:rFonts w:ascii="CG Omega" w:hAnsi="CG Omega" w:cs="Arial"/>
        </w:rPr>
        <w:t>1</w:t>
      </w:r>
      <w:r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/>
        </w:rPr>
        <w:t>Przedmiotem niniejszego postepowania</w:t>
      </w:r>
      <w:r w:rsidRPr="002E36A4">
        <w:rPr>
          <w:rFonts w:ascii="CG Omega" w:hAnsi="CG Omega"/>
        </w:rPr>
        <w:t xml:space="preserve"> jes</w:t>
      </w:r>
      <w:r>
        <w:rPr>
          <w:rFonts w:ascii="CG Omega" w:hAnsi="CG Omega"/>
        </w:rPr>
        <w:t>t świadczenie usług obejmujących wycenę nieruchomości, na</w:t>
      </w:r>
      <w:r w:rsidRPr="002E36A4">
        <w:rPr>
          <w:rFonts w:ascii="CG Omega" w:hAnsi="CG Omega"/>
        </w:rPr>
        <w:t xml:space="preserve"> potrzeb</w:t>
      </w:r>
      <w:r>
        <w:rPr>
          <w:rFonts w:ascii="CG Omega" w:hAnsi="CG Omega"/>
        </w:rPr>
        <w:t>y</w:t>
      </w:r>
      <w:r w:rsidRPr="002E36A4">
        <w:rPr>
          <w:rFonts w:ascii="CG Omega" w:hAnsi="CG Omega"/>
        </w:rPr>
        <w:t xml:space="preserve"> związa</w:t>
      </w:r>
      <w:r>
        <w:rPr>
          <w:rFonts w:ascii="CG Omega" w:hAnsi="CG Omega"/>
        </w:rPr>
        <w:t>ne</w:t>
      </w:r>
      <w:r w:rsidRPr="002E36A4">
        <w:rPr>
          <w:rFonts w:ascii="CG Omega" w:hAnsi="CG Omega"/>
        </w:rPr>
        <w:t xml:space="preserve"> z bieżącą gospodarką nieruchomościami w Urzędzie Gminy Wiązownica</w:t>
      </w:r>
      <w:r>
        <w:rPr>
          <w:rFonts w:ascii="CG Omega" w:hAnsi="CG Omega"/>
        </w:rPr>
        <w:t>,</w:t>
      </w:r>
      <w:r w:rsidRPr="002E36A4">
        <w:rPr>
          <w:rFonts w:ascii="CG Omega" w:hAnsi="CG Omega"/>
        </w:rPr>
        <w:t xml:space="preserve"> oraz</w:t>
      </w:r>
      <w:r>
        <w:rPr>
          <w:rFonts w:ascii="CG Omega" w:hAnsi="CG Omega"/>
        </w:rPr>
        <w:t xml:space="preserve"> złożoną </w:t>
      </w:r>
      <w:r w:rsidRPr="002E36A4">
        <w:rPr>
          <w:rFonts w:ascii="CG Omega" w:hAnsi="CG Omega"/>
        </w:rPr>
        <w:t>ofertą, która stanowi załącznik nr 1 do umowy.</w:t>
      </w:r>
    </w:p>
    <w:p w:rsidR="008475B8" w:rsidRDefault="008475B8" w:rsidP="008475B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 w:cs="Gautami"/>
          <w:color w:val="000000"/>
        </w:rPr>
        <w:t>3.2</w:t>
      </w:r>
      <w:r>
        <w:rPr>
          <w:rFonts w:ascii="CG Omega" w:hAnsi="CG Omega" w:cs="Gautami"/>
          <w:b/>
          <w:color w:val="000000"/>
        </w:rPr>
        <w:t xml:space="preserve">   </w:t>
      </w:r>
      <w:r>
        <w:rPr>
          <w:rFonts w:ascii="CG Omega" w:hAnsi="CG Omega" w:cs="Gautami"/>
          <w:b/>
          <w:color w:val="000000"/>
        </w:rPr>
        <w:tab/>
      </w:r>
      <w:r>
        <w:rPr>
          <w:rFonts w:ascii="CG Omega" w:hAnsi="CG Omega"/>
        </w:rPr>
        <w:t>Wykonawca będzie sporządzał</w:t>
      </w:r>
      <w:r w:rsidRPr="005561F1">
        <w:rPr>
          <w:rFonts w:ascii="CG Omega" w:hAnsi="CG Omega"/>
        </w:rPr>
        <w:t xml:space="preserve"> </w:t>
      </w:r>
      <w:r>
        <w:rPr>
          <w:rFonts w:ascii="CG Omega" w:hAnsi="CG Omega"/>
        </w:rPr>
        <w:t>operaty w okresie</w:t>
      </w:r>
      <w:r w:rsidRPr="005561F1">
        <w:rPr>
          <w:rFonts w:ascii="CG Omega" w:hAnsi="CG Omega"/>
        </w:rPr>
        <w:t xml:space="preserve"> od daty podpisania umowy do 31 grudnia </w:t>
      </w:r>
    </w:p>
    <w:p w:rsidR="008475B8" w:rsidRPr="005561F1" w:rsidRDefault="008475B8" w:rsidP="008475B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  <w:t xml:space="preserve">2020 roku </w:t>
      </w:r>
      <w:r w:rsidRPr="005561F1">
        <w:rPr>
          <w:rFonts w:ascii="CG Omega" w:hAnsi="CG Omega"/>
        </w:rPr>
        <w:t>.</w:t>
      </w:r>
    </w:p>
    <w:p w:rsidR="008475B8" w:rsidRDefault="008475B8" w:rsidP="008475B8">
      <w:pPr>
        <w:spacing w:after="0" w:line="240" w:lineRule="auto"/>
        <w:jc w:val="both"/>
        <w:rPr>
          <w:rFonts w:ascii="CG Omega" w:hAnsi="CG Omega"/>
        </w:rPr>
      </w:pPr>
      <w:r w:rsidRPr="008475B8">
        <w:rPr>
          <w:rFonts w:ascii="CG Omega" w:hAnsi="CG Omega"/>
          <w:szCs w:val="20"/>
        </w:rPr>
        <w:t>3.3</w:t>
      </w:r>
      <w:r>
        <w:rPr>
          <w:szCs w:val="20"/>
        </w:rPr>
        <w:t xml:space="preserve">   </w:t>
      </w:r>
      <w:r>
        <w:rPr>
          <w:szCs w:val="20"/>
        </w:rPr>
        <w:tab/>
      </w:r>
      <w:r w:rsidRPr="004F3D31">
        <w:rPr>
          <w:rFonts w:ascii="CG Omega" w:hAnsi="CG Omega"/>
        </w:rPr>
        <w:t>Wykonanie operatów zlecane będzie sukcesywnie w miarę bieżących potr</w:t>
      </w:r>
      <w:r>
        <w:rPr>
          <w:rFonts w:ascii="CG Omega" w:hAnsi="CG Omega"/>
        </w:rPr>
        <w:t>zeb Zamawiającego</w:t>
      </w:r>
      <w:r w:rsidRPr="004F3D31">
        <w:rPr>
          <w:rFonts w:ascii="CG Omega" w:hAnsi="CG Omega"/>
        </w:rPr>
        <w:t>.</w:t>
      </w:r>
    </w:p>
    <w:p w:rsidR="008475B8" w:rsidRPr="004F3D31" w:rsidRDefault="008475B8" w:rsidP="008475B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3.4   </w:t>
      </w:r>
      <w:r>
        <w:rPr>
          <w:rFonts w:ascii="CG Omega" w:hAnsi="CG Omega"/>
        </w:rPr>
        <w:tab/>
        <w:t>Dokumentacja wyceny nieruchomości winna zawierać</w:t>
      </w:r>
      <w:r w:rsidRPr="004F3D31">
        <w:rPr>
          <w:rFonts w:ascii="CG Omega" w:hAnsi="CG Omega"/>
        </w:rPr>
        <w:t>:</w:t>
      </w:r>
    </w:p>
    <w:p w:rsidR="008475B8" w:rsidRPr="004F3D31" w:rsidRDefault="008475B8" w:rsidP="0032207C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operat szacunkowy zgodny z ustawą z dnia 21 sierpnia 1997 r. o gospodarce</w:t>
      </w:r>
      <w:r>
        <w:rPr>
          <w:rFonts w:ascii="CG Omega" w:hAnsi="CG Omega"/>
        </w:rPr>
        <w:t xml:space="preserve"> nieruchomościami ( </w:t>
      </w:r>
      <w:proofErr w:type="spellStart"/>
      <w:r>
        <w:rPr>
          <w:rFonts w:ascii="CG Omega" w:hAnsi="CG Omega"/>
        </w:rPr>
        <w:t>t.j</w:t>
      </w:r>
      <w:proofErr w:type="spellEnd"/>
      <w:r>
        <w:rPr>
          <w:rFonts w:ascii="CG Omega" w:hAnsi="CG Omega"/>
        </w:rPr>
        <w:t>. Dz. U. z 2018r. poz. 121</w:t>
      </w:r>
      <w:r w:rsidRPr="004F3D31">
        <w:rPr>
          <w:rFonts w:ascii="CG Omega" w:hAnsi="CG Omega"/>
        </w:rPr>
        <w:t xml:space="preserve">) i Rozporządzeniem Rady Ministrów z dnia 21 września 2004 roku w sprawie wyceny nieruchomości i sporządzenia operatu szacunkowego (Dz. U. Nr 207, poz. 2109 ze zm.) </w:t>
      </w:r>
    </w:p>
    <w:p w:rsidR="008475B8" w:rsidRPr="004F3D31" w:rsidRDefault="008475B8" w:rsidP="0032207C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993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obraz (zdjęcia) fotograficzny;</w:t>
      </w:r>
    </w:p>
    <w:p w:rsidR="008475B8" w:rsidRPr="004F3D31" w:rsidRDefault="008475B8" w:rsidP="0032207C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993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protokół oględzin nieruchomości podpisany przez rzeczoznawcę majątkowego;</w:t>
      </w:r>
    </w:p>
    <w:p w:rsidR="008475B8" w:rsidRPr="004F3D31" w:rsidRDefault="008475B8" w:rsidP="0032207C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993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zaznaczenie na planie  nieruchomości szaco</w:t>
      </w:r>
      <w:r>
        <w:rPr>
          <w:rFonts w:ascii="CG Omega" w:hAnsi="CG Omega"/>
        </w:rPr>
        <w:t>wanej</w:t>
      </w:r>
      <w:r w:rsidRPr="004F3D31">
        <w:rPr>
          <w:rFonts w:ascii="CG Omega" w:hAnsi="CG Omega"/>
        </w:rPr>
        <w:t>;</w:t>
      </w:r>
    </w:p>
    <w:p w:rsidR="008475B8" w:rsidRDefault="008475B8" w:rsidP="0032207C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993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wycinek mapy ewidencyjnej/zasadniczej (w uzasadnionych przypadkach wypis z rejestru gruntów).</w:t>
      </w:r>
    </w:p>
    <w:p w:rsidR="008475B8" w:rsidRPr="000557BA" w:rsidRDefault="008475B8" w:rsidP="008475B8">
      <w:pPr>
        <w:spacing w:after="0" w:line="240" w:lineRule="auto"/>
        <w:ind w:left="633" w:hanging="633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 w:rsidRPr="000557BA"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Pr="000557BA">
        <w:rPr>
          <w:rFonts w:ascii="CG Omega" w:hAnsi="CG Omega"/>
        </w:rPr>
        <w:t xml:space="preserve">Strony uzgadniają, że operat szacunkowy może być wykorzystywany do celu, dla którego został sporządzony przez okres 12 miesięcy od daty jego sporządzenia, chyba że wystąpiły </w:t>
      </w:r>
      <w:r w:rsidRPr="004F3D31">
        <w:rPr>
          <w:rFonts w:ascii="CG Omega" w:hAnsi="CG Omega"/>
        </w:rPr>
        <w:t>zmiany uwarunkowań prawnych lub inne istotne zmiany czynników wpływających na proces szacowania nieruchomości – określenia wartości nieruchomości.</w:t>
      </w:r>
    </w:p>
    <w:p w:rsidR="008475B8" w:rsidRPr="004F3D31" w:rsidRDefault="008475B8" w:rsidP="008475B8">
      <w:pPr>
        <w:spacing w:after="0" w:line="240" w:lineRule="auto"/>
        <w:ind w:left="633" w:hanging="633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3.6 </w:t>
      </w:r>
      <w:r>
        <w:rPr>
          <w:rFonts w:ascii="CG Omega" w:hAnsi="CG Omega"/>
        </w:rPr>
        <w:tab/>
      </w:r>
      <w:r w:rsidRPr="004F3D31">
        <w:rPr>
          <w:rFonts w:ascii="CG Omega" w:hAnsi="CG Omega"/>
        </w:rPr>
        <w:t>Operat może być wykorzystywany po upływie okresu czasu, o którym mowa w ust. 6 poprzez potwierdzenie przez Wykonawcę jego aktualności, które może być zlecone w terminie do 12 miesięcy po upływie tego okresu.</w:t>
      </w:r>
    </w:p>
    <w:p w:rsidR="008475B8" w:rsidRPr="003D227E" w:rsidRDefault="008475B8" w:rsidP="008475B8">
      <w:pPr>
        <w:spacing w:after="0" w:line="240" w:lineRule="auto"/>
        <w:ind w:left="633" w:hanging="633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3.7 </w:t>
      </w:r>
      <w:r>
        <w:rPr>
          <w:rFonts w:ascii="CG Omega" w:hAnsi="CG Omega"/>
        </w:rPr>
        <w:tab/>
      </w:r>
      <w:r w:rsidRPr="004F3D31">
        <w:rPr>
          <w:rFonts w:ascii="CG Omega" w:hAnsi="CG Omega"/>
        </w:rPr>
        <w:t xml:space="preserve">W przypadku wadliwego wykonania  operatu szacunkowego Wykonawca zobowiązany jest </w:t>
      </w:r>
      <w:r>
        <w:rPr>
          <w:rFonts w:ascii="CG Omega" w:hAnsi="CG Omega"/>
        </w:rPr>
        <w:t xml:space="preserve"> </w:t>
      </w:r>
      <w:r w:rsidRPr="004F3D31">
        <w:rPr>
          <w:rFonts w:ascii="CG Omega" w:hAnsi="CG Omega"/>
        </w:rPr>
        <w:t>pokryć koszty wykonanej opinii oraz przedłożyć nową, nie zawierającą błędów wycenę,                    w terminie do 7 dni od dnia wezwania, bez dodatkowego wynagrodzenia.</w:t>
      </w:r>
    </w:p>
    <w:p w:rsidR="008475B8" w:rsidRDefault="008475B8" w:rsidP="008475B8">
      <w:pPr>
        <w:spacing w:after="0" w:line="240" w:lineRule="auto"/>
        <w:rPr>
          <w:rFonts w:ascii="CG Omega" w:hAnsi="CG Omega" w:cs="Arial"/>
        </w:rPr>
      </w:pPr>
    </w:p>
    <w:p w:rsidR="008475B8" w:rsidRPr="00E54218" w:rsidRDefault="008475B8" w:rsidP="008475B8">
      <w:pPr>
        <w:spacing w:after="0" w:line="240" w:lineRule="auto"/>
        <w:rPr>
          <w:rFonts w:ascii="CG Omega" w:hAnsi="CG Omega"/>
          <w:b/>
          <w:bCs/>
        </w:rPr>
      </w:pPr>
      <w:r w:rsidRPr="00E54218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       </w:t>
      </w:r>
      <w:r w:rsidRPr="00E54218">
        <w:rPr>
          <w:rFonts w:ascii="CG Omega" w:hAnsi="CG Omega"/>
          <w:b/>
          <w:bCs/>
        </w:rPr>
        <w:t>Zakres przedmiotu zamówienia  obejmuje: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>
        <w:rPr>
          <w:rFonts w:ascii="CG Omega" w:hAnsi="CG Omega"/>
        </w:rPr>
        <w:t>Wycena działki rolnej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lastRenderedPageBreak/>
        <w:t>Wycena działki leśnej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t>Wycena działki budowlanej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t>Wycena działki rekreacyjnej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t>Wycena działki zabudowanej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t>Wycena  lokalu mieszkalnego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t>Wycena  lokalu użytkowego</w:t>
      </w:r>
    </w:p>
    <w:p w:rsid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t>Wycena domku letniskowego</w:t>
      </w:r>
    </w:p>
    <w:p w:rsidR="008475B8" w:rsidRPr="008475B8" w:rsidRDefault="008475B8" w:rsidP="0032207C">
      <w:pPr>
        <w:numPr>
          <w:ilvl w:val="0"/>
          <w:numId w:val="23"/>
        </w:numPr>
        <w:spacing w:after="0" w:line="240" w:lineRule="auto"/>
        <w:ind w:left="993"/>
        <w:rPr>
          <w:rFonts w:ascii="CG Omega" w:hAnsi="CG Omega"/>
        </w:rPr>
      </w:pPr>
      <w:r w:rsidRPr="008475B8">
        <w:rPr>
          <w:rFonts w:ascii="CG Omega" w:hAnsi="CG Omega"/>
        </w:rPr>
        <w:t>Wycena służebności gruntowej.</w:t>
      </w:r>
    </w:p>
    <w:p w:rsidR="008475B8" w:rsidRPr="00B93D92" w:rsidRDefault="008475B8" w:rsidP="008475B8">
      <w:pPr>
        <w:spacing w:after="0" w:line="240" w:lineRule="auto"/>
        <w:rPr>
          <w:rFonts w:ascii="CG Omega" w:hAnsi="CG Omega"/>
        </w:rPr>
      </w:pPr>
    </w:p>
    <w:p w:rsidR="008475B8" w:rsidRDefault="008475B8" w:rsidP="008475B8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3.8    </w:t>
      </w:r>
      <w:r>
        <w:rPr>
          <w:rFonts w:ascii="CG Omega" w:hAnsi="CG Omega" w:cs="Arial"/>
        </w:rPr>
        <w:tab/>
      </w:r>
      <w:r w:rsidRPr="00C302F3">
        <w:rPr>
          <w:rFonts w:ascii="CG Omega" w:hAnsi="CG Omega" w:cs="Arial"/>
        </w:rPr>
        <w:t xml:space="preserve">Zamawiający  </w:t>
      </w:r>
      <w:r>
        <w:rPr>
          <w:rFonts w:ascii="CG Omega" w:hAnsi="CG Omega" w:cs="Arial"/>
        </w:rPr>
        <w:t xml:space="preserve">nie </w:t>
      </w:r>
      <w:r w:rsidRPr="00C302F3">
        <w:rPr>
          <w:rFonts w:ascii="CG Omega" w:hAnsi="CG Omega" w:cs="Arial"/>
        </w:rPr>
        <w:t>dopuszcza możliwości składania ofert częściowych.</w:t>
      </w:r>
    </w:p>
    <w:p w:rsidR="008475B8" w:rsidRPr="003369C2" w:rsidRDefault="008475B8" w:rsidP="008475B8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3.9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 informuje, że przedmiot zamówienia będzie realizowany do wyczerpania środków finansowych zabezpieczonych w budżecie.</w:t>
      </w:r>
    </w:p>
    <w:p w:rsidR="008475B8" w:rsidRDefault="008475B8" w:rsidP="008475B8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3.10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zastrzega sobie praw</w:t>
      </w:r>
      <w:r>
        <w:rPr>
          <w:rFonts w:ascii="CG Omega" w:hAnsi="CG Omega" w:cs="Arial"/>
        </w:rPr>
        <w:t>o do ograniczenia zakresu usług</w:t>
      </w:r>
      <w:r w:rsidRPr="003369C2">
        <w:rPr>
          <w:rFonts w:ascii="CG Omega" w:hAnsi="CG Omega" w:cs="Arial"/>
        </w:rPr>
        <w:t xml:space="preserve"> ze względu na  zmniejszone zapotrzebowanie</w:t>
      </w:r>
      <w:r>
        <w:rPr>
          <w:rFonts w:ascii="CG Omega" w:hAnsi="CG Omega" w:cs="Arial"/>
        </w:rPr>
        <w:t>.</w:t>
      </w:r>
    </w:p>
    <w:p w:rsidR="008475B8" w:rsidRPr="00721ACB" w:rsidRDefault="008475B8" w:rsidP="008475B8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3.11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/>
        </w:rPr>
        <w:t>Dane zawarte w formularzu dostaw mają charakter szacunkowy i nie mogą stanowić podstawy do roszczeń co do ilości faktycznie zamawianych przez Zamawiającego usług  w ciągu roku.</w:t>
      </w:r>
    </w:p>
    <w:p w:rsidR="008475B8" w:rsidRPr="008475B8" w:rsidRDefault="008475B8" w:rsidP="0032207C">
      <w:pPr>
        <w:pStyle w:val="Akapitzlist"/>
        <w:numPr>
          <w:ilvl w:val="1"/>
          <w:numId w:val="24"/>
        </w:numPr>
        <w:spacing w:after="0" w:line="240" w:lineRule="auto"/>
        <w:ind w:left="709" w:right="195" w:hanging="709"/>
        <w:jc w:val="both"/>
        <w:rPr>
          <w:rFonts w:ascii="CG Omega" w:hAnsi="CG Omega" w:cs="Gautami"/>
          <w:color w:val="000000"/>
        </w:rPr>
      </w:pPr>
      <w:r w:rsidRPr="008475B8">
        <w:rPr>
          <w:rFonts w:ascii="CG Omega" w:hAnsi="CG Omega"/>
        </w:rPr>
        <w:t>Zamawiający zastrzega sobie możliwość przesunięć ilościowych  między poszczególnymi rodzajami opracowań w przypadku uzasadnionych potrzeb, pod warunkiem, że przesunięcia te nie przekroczą maksymalnej kwoty wynagrodzenia ustalonego w umowie.</w:t>
      </w:r>
    </w:p>
    <w:p w:rsidR="008475B8" w:rsidRPr="003E5B7D" w:rsidRDefault="008475B8" w:rsidP="008475B8">
      <w:pPr>
        <w:spacing w:after="0" w:line="240" w:lineRule="auto"/>
        <w:ind w:left="708"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>Zamawiający zastrzega sobie prawo do ograniczenia przedmiotu umowy w przypadku, gdy  z powodów ekonomicznych, bieżących potrzeb lub innych  powodów, będzie to leżało w interesie Zamawiającego.</w:t>
      </w:r>
    </w:p>
    <w:p w:rsidR="008475B8" w:rsidRPr="008475B8" w:rsidRDefault="008475B8" w:rsidP="0032207C">
      <w:pPr>
        <w:pStyle w:val="Akapitzlist"/>
        <w:numPr>
          <w:ilvl w:val="1"/>
          <w:numId w:val="24"/>
        </w:numPr>
        <w:spacing w:after="0" w:line="240" w:lineRule="auto"/>
        <w:ind w:left="709" w:right="195" w:hanging="709"/>
        <w:jc w:val="both"/>
        <w:rPr>
          <w:rFonts w:ascii="CG Omega" w:hAnsi="CG Omega" w:cs="Gautami"/>
          <w:color w:val="000000"/>
        </w:rPr>
      </w:pPr>
      <w:r w:rsidRPr="008475B8">
        <w:rPr>
          <w:rFonts w:ascii="CG Omega" w:hAnsi="CG Omega"/>
        </w:rPr>
        <w:t>W związku z ograniczeniem zakresu dostaw Wykonawcy nie będzie przysługiwało żadne roszczenie, w tym finansowe względem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 xml:space="preserve"> </w:t>
      </w:r>
      <w:r w:rsidR="00943E3A" w:rsidRPr="00177802">
        <w:rPr>
          <w:rFonts w:ascii="CG Omega" w:hAnsi="CG Omega"/>
          <w:b/>
          <w:smallCaps/>
        </w:rPr>
        <w:t>Termin realizacji umowy</w:t>
      </w:r>
    </w:p>
    <w:p w:rsidR="00404905" w:rsidRPr="00404905" w:rsidRDefault="00C514F3" w:rsidP="0032207C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 w:rsidRPr="00404905">
        <w:rPr>
          <w:rFonts w:ascii="CG Omega" w:eastAsia="Times New Roman" w:hAnsi="CG Omega"/>
          <w:lang w:eastAsia="pl-PL"/>
        </w:rPr>
        <w:t xml:space="preserve">    </w:t>
      </w:r>
      <w:r w:rsidR="00404905">
        <w:rPr>
          <w:rFonts w:ascii="CG Omega" w:eastAsia="Times New Roman" w:hAnsi="CG Omega"/>
          <w:lang w:eastAsia="pl-PL"/>
        </w:rPr>
        <w:tab/>
      </w:r>
      <w:r w:rsidR="00404905" w:rsidRPr="00404905">
        <w:rPr>
          <w:rFonts w:ascii="CG Omega" w:hAnsi="CG Omega"/>
        </w:rPr>
        <w:t>Usługi geodezyjne będą świadczone w okresie od dnia podpisania umowy do 31.12.2020 r.</w:t>
      </w:r>
    </w:p>
    <w:p w:rsidR="00404905" w:rsidRPr="00404905" w:rsidRDefault="00404905" w:rsidP="0032207C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404905">
        <w:rPr>
          <w:rFonts w:ascii="CG Omega" w:hAnsi="CG Omega" w:cs="Arial"/>
        </w:rPr>
        <w:t>Termin realizacji poszczególnych zleceń w ramach umowy będzie ustalany wspólnie przez strony umowy, indywidualnie w zależności od rodzaju zlecenia, lecz nie może być on krótszy niż 5 dni od dnia otrzymania zlecenia.</w:t>
      </w:r>
    </w:p>
    <w:p w:rsidR="00404905" w:rsidRPr="00404905" w:rsidRDefault="00404905" w:rsidP="00404905">
      <w:pPr>
        <w:pStyle w:val="Akapitzlist"/>
        <w:spacing w:after="0" w:line="240" w:lineRule="auto"/>
        <w:ind w:left="360"/>
        <w:jc w:val="both"/>
        <w:rPr>
          <w:rFonts w:ascii="CG Omega" w:hAnsi="CG Omega" w:cs="Arial"/>
        </w:rPr>
      </w:pPr>
    </w:p>
    <w:p w:rsidR="00943E3A" w:rsidRPr="00404905" w:rsidRDefault="00177802" w:rsidP="00404905">
      <w:pPr>
        <w:spacing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ab/>
      </w:r>
      <w:r w:rsidR="00943E3A" w:rsidRPr="00177802">
        <w:rPr>
          <w:rFonts w:ascii="CG Omega" w:hAnsi="CG Omega"/>
          <w:b/>
          <w:smallCaps/>
        </w:rPr>
        <w:t xml:space="preserve">Warunki udziału w postępowaniu o udzielenie zamówienia oraz opis sposobu </w:t>
      </w:r>
      <w:r w:rsidR="00404905">
        <w:rPr>
          <w:rFonts w:ascii="CG Omega" w:hAnsi="CG Omega"/>
          <w:b/>
          <w:smallCaps/>
        </w:rPr>
        <w:t xml:space="preserve">  </w:t>
      </w:r>
      <w:r w:rsidR="0048364B" w:rsidRPr="00404905">
        <w:rPr>
          <w:rFonts w:ascii="CG Omega" w:hAnsi="CG Omega"/>
          <w:b/>
          <w:smallCaps/>
        </w:rPr>
        <w:t xml:space="preserve"> </w:t>
      </w:r>
      <w:r w:rsidR="00943E3A" w:rsidRPr="00404905">
        <w:rPr>
          <w:rFonts w:ascii="CG Omega" w:hAnsi="CG Omega"/>
          <w:b/>
          <w:smallCaps/>
        </w:rPr>
        <w:t>dokonywania oceny ich spełniania</w:t>
      </w:r>
    </w:p>
    <w:p w:rsidR="005A244C" w:rsidRPr="00FD3117" w:rsidRDefault="005A244C" w:rsidP="005A244C">
      <w:pPr>
        <w:spacing w:after="0" w:line="240" w:lineRule="auto"/>
        <w:ind w:left="705" w:hanging="705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Pr="00FD3117">
        <w:rPr>
          <w:rFonts w:ascii="CG Omega" w:eastAsia="Times New Roman" w:hAnsi="CG Omega" w:cs="Arial"/>
          <w:b/>
          <w:lang w:eastAsia="pl-PL"/>
        </w:rPr>
        <w:t xml:space="preserve">  </w:t>
      </w:r>
      <w:r>
        <w:rPr>
          <w:rFonts w:ascii="CG Omega" w:eastAsia="Times New Roman" w:hAnsi="CG Omega" w:cs="Arial"/>
          <w:b/>
          <w:lang w:eastAsia="pl-PL"/>
        </w:rPr>
        <w:tab/>
      </w:r>
      <w:r w:rsidRPr="00FD3117">
        <w:rPr>
          <w:rFonts w:ascii="CG Omega" w:eastAsia="Times New Roman" w:hAnsi="CG Omega" w:cs="Arial"/>
          <w:b/>
          <w:lang w:eastAsia="pl-PL"/>
        </w:rPr>
        <w:t xml:space="preserve">W zakresie kompetencji lub uprawnień do prowadzenia określonej działalności zawodowej,  </w:t>
      </w:r>
      <w:r>
        <w:rPr>
          <w:rFonts w:ascii="CG Omega" w:eastAsia="Times New Roman" w:hAnsi="CG Omega" w:cs="Arial"/>
          <w:b/>
          <w:lang w:eastAsia="pl-PL"/>
        </w:rPr>
        <w:t xml:space="preserve"> </w:t>
      </w:r>
      <w:r w:rsidRPr="00FD3117">
        <w:rPr>
          <w:rFonts w:ascii="CG Omega" w:eastAsia="Times New Roman" w:hAnsi="CG Omega" w:cs="Arial"/>
          <w:b/>
          <w:lang w:eastAsia="pl-PL"/>
        </w:rPr>
        <w:t>o</w:t>
      </w:r>
      <w:r w:rsidR="00404905">
        <w:rPr>
          <w:rFonts w:ascii="CG Omega" w:eastAsia="Times New Roman" w:hAnsi="CG Omega" w:cs="Arial"/>
          <w:b/>
          <w:lang w:eastAsia="pl-PL"/>
        </w:rPr>
        <w:t> </w:t>
      </w:r>
      <w:r w:rsidRPr="00FD3117">
        <w:rPr>
          <w:rFonts w:ascii="CG Omega" w:eastAsia="Times New Roman" w:hAnsi="CG Omega" w:cs="Arial"/>
          <w:b/>
          <w:lang w:eastAsia="pl-PL"/>
        </w:rPr>
        <w:t>ile wynika to z odrębnych przepisów.</w:t>
      </w:r>
    </w:p>
    <w:p w:rsidR="005A244C" w:rsidRPr="005A244C" w:rsidRDefault="005A244C" w:rsidP="005A244C">
      <w:pPr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>
        <w:rPr>
          <w:rFonts w:ascii="CG Omega" w:eastAsia="Times New Roman" w:hAnsi="CG Omega" w:cs="Tahoma"/>
          <w:lang w:eastAsia="pl-PL"/>
        </w:rPr>
        <w:tab/>
        <w:t>Zamawiający nie stawia szczegółowego warunku w tym zakresie.</w:t>
      </w:r>
    </w:p>
    <w:p w:rsidR="005A244C" w:rsidRPr="00FD3117" w:rsidRDefault="005A244C" w:rsidP="005A244C">
      <w:p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>5.2</w:t>
      </w:r>
      <w:r w:rsidRPr="00FD3117">
        <w:rPr>
          <w:rFonts w:ascii="CG Omega" w:eastAsia="Times New Roman" w:hAnsi="CG Omega"/>
          <w:b/>
          <w:lang w:eastAsia="pl-PL"/>
        </w:rPr>
        <w:t xml:space="preserve"> </w:t>
      </w:r>
      <w:r>
        <w:rPr>
          <w:rFonts w:ascii="CG Omega" w:eastAsia="Times New Roman" w:hAnsi="CG Omega"/>
          <w:b/>
          <w:lang w:eastAsia="pl-PL"/>
        </w:rPr>
        <w:tab/>
      </w:r>
      <w:r w:rsidRPr="00FD3117">
        <w:rPr>
          <w:rFonts w:ascii="CG Omega" w:eastAsia="Times New Roman" w:hAnsi="CG Omega"/>
          <w:b/>
          <w:lang w:eastAsia="pl-PL"/>
        </w:rPr>
        <w:t>W zakresie potencjału technicznego i zawodowego:</w:t>
      </w:r>
    </w:p>
    <w:p w:rsidR="005A244C" w:rsidRDefault="005A244C" w:rsidP="005A244C">
      <w:pPr>
        <w:pStyle w:val="Default"/>
        <w:ind w:left="708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>tanowiącym przedmiot zamówienia, co oznacza, że wykonawca przystępując do udziału w postępowaniu musi wykazać, że:</w:t>
      </w:r>
    </w:p>
    <w:p w:rsidR="00915CC6" w:rsidRDefault="005A244C" w:rsidP="00915CC6">
      <w:pPr>
        <w:pStyle w:val="Osignicie"/>
        <w:numPr>
          <w:ilvl w:val="2"/>
          <w:numId w:val="1"/>
        </w:numPr>
        <w:ind w:hanging="5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dysponuje lub będzie dysponował co najmniej 1 osobą posiadającą stosowne  </w:t>
      </w:r>
      <w:r w:rsidR="00915CC6">
        <w:rPr>
          <w:rFonts w:ascii="CG Omega" w:hAnsi="CG Omega"/>
          <w:snapToGrid w:val="0"/>
          <w:sz w:val="22"/>
          <w:szCs w:val="22"/>
          <w:lang w:eastAsia="ar-SA"/>
        </w:rPr>
        <w:t xml:space="preserve"> </w:t>
      </w:r>
    </w:p>
    <w:p w:rsidR="00856AB7" w:rsidRPr="00A4511D" w:rsidRDefault="00915CC6" w:rsidP="00856AB7">
      <w:pPr>
        <w:pStyle w:val="Osignicie"/>
        <w:numPr>
          <w:ilvl w:val="0"/>
          <w:numId w:val="0"/>
        </w:numPr>
        <w:ind w:left="714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5A244C">
        <w:rPr>
          <w:rFonts w:ascii="CG Omega" w:hAnsi="CG Omega"/>
          <w:snapToGrid w:val="0"/>
          <w:sz w:val="22"/>
          <w:szCs w:val="22"/>
          <w:lang w:eastAsia="ar-SA"/>
        </w:rPr>
        <w:t>uprawnienia do wykonywania usług stanowiących przedmiot zamówienia</w:t>
      </w:r>
      <w:r w:rsidR="005A244C" w:rsidRPr="00FB5938">
        <w:rPr>
          <w:rFonts w:ascii="CG Omega" w:hAnsi="CG Omega"/>
          <w:snapToGrid w:val="0"/>
          <w:sz w:val="22"/>
          <w:szCs w:val="22"/>
          <w:lang w:eastAsia="ar-SA"/>
        </w:rPr>
        <w:t>.</w:t>
      </w:r>
    </w:p>
    <w:p w:rsidR="003A0BEC" w:rsidRPr="00A4511D" w:rsidRDefault="00943E3A" w:rsidP="0032207C">
      <w:pPr>
        <w:pStyle w:val="Akapitzlist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Zamawiający, na podstawie złożonych przez Wykonawcę dokumentów, dokona oceny spełniania warunk</w:t>
      </w:r>
      <w:r w:rsidR="00966896" w:rsidRPr="00A4511D">
        <w:rPr>
          <w:rFonts w:ascii="CG Omega" w:hAnsi="CG Omega"/>
        </w:rPr>
        <w:t xml:space="preserve">ów podmiotowych </w:t>
      </w:r>
      <w:r w:rsidRPr="00A4511D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A4511D">
        <w:rPr>
          <w:rFonts w:ascii="CG Omega" w:hAnsi="CG Omega"/>
        </w:rPr>
        <w:t>eniem Wykonawcy z postępowania, a oferta</w:t>
      </w:r>
      <w:r w:rsidRPr="00A4511D">
        <w:rPr>
          <w:rFonts w:ascii="CG Omega" w:hAnsi="CG Omega"/>
        </w:rPr>
        <w:t xml:space="preserve"> Wykonawcy wykl</w:t>
      </w:r>
      <w:r w:rsidR="00966896" w:rsidRPr="00A4511D">
        <w:rPr>
          <w:rFonts w:ascii="CG Omega" w:hAnsi="CG Omega"/>
        </w:rPr>
        <w:t>uczonego z postępowania uznana zostanie</w:t>
      </w:r>
      <w:r w:rsidRPr="00A4511D">
        <w:rPr>
          <w:rFonts w:ascii="CG Omega" w:hAnsi="CG Omega"/>
        </w:rPr>
        <w:t xml:space="preserve"> za odrzuconą.</w:t>
      </w:r>
    </w:p>
    <w:p w:rsidR="003A0BEC" w:rsidRPr="00A4511D" w:rsidRDefault="00943E3A" w:rsidP="0032207C">
      <w:pPr>
        <w:pStyle w:val="Akapitzlist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lastRenderedPageBreak/>
        <w:t>Wykonawca może w celu potwierdzenia spełniania warunków udziału w postępowaniu, w</w:t>
      </w:r>
      <w:r w:rsidR="00AB006F" w:rsidRPr="00A4511D">
        <w:rPr>
          <w:rFonts w:ascii="CG Omega" w:hAnsi="CG Omega"/>
        </w:rPr>
        <w:t> </w:t>
      </w:r>
      <w:r w:rsidRPr="00A4511D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32207C">
      <w:pPr>
        <w:pStyle w:val="Akapitzlist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32207C">
      <w:pPr>
        <w:pStyle w:val="Akapitzlist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32207C">
      <w:pPr>
        <w:pStyle w:val="Akapitzlist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B006F">
        <w:rPr>
          <w:rFonts w:ascii="CG Omega" w:hAnsi="CG Omega"/>
          <w:b/>
          <w:smallCaps/>
        </w:rPr>
        <w:t xml:space="preserve">Informacja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na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temat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podstaw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>wykluczeni</w:t>
      </w:r>
      <w:r w:rsidR="00D60C09" w:rsidRPr="00AB006F">
        <w:rPr>
          <w:rFonts w:ascii="CG Omega" w:hAnsi="CG Omega"/>
          <w:b/>
          <w:smallCaps/>
        </w:rPr>
        <w:t>a</w:t>
      </w:r>
      <w:r w:rsidR="00943E3A" w:rsidRPr="00AB006F">
        <w:rPr>
          <w:rFonts w:ascii="CG Omega" w:hAnsi="CG Omega"/>
          <w:b/>
          <w:smallCaps/>
        </w:rPr>
        <w:t xml:space="preserve">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oraz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zakazu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powiązań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osobowych </w:t>
      </w:r>
      <w:r w:rsidR="000873EE" w:rsidRPr="00AB006F">
        <w:rPr>
          <w:rFonts w:ascii="CG Omega" w:hAnsi="CG Omega"/>
          <w:b/>
          <w:smallCaps/>
        </w:rPr>
        <w:t xml:space="preserve">  </w:t>
      </w:r>
      <w:r w:rsidR="00943E3A" w:rsidRPr="00AB006F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32207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32207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32207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32207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32207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32207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32207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32207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Default="00943E3A" w:rsidP="0032207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5A244C" w:rsidRPr="005A244C" w:rsidRDefault="00946FEA" w:rsidP="0032207C">
      <w:pPr>
        <w:pStyle w:val="Akapitzlist"/>
        <w:numPr>
          <w:ilvl w:val="2"/>
          <w:numId w:val="13"/>
        </w:numPr>
        <w:rPr>
          <w:rFonts w:ascii="CG Omega" w:hAnsi="CG Omega"/>
        </w:rPr>
      </w:pPr>
      <w:r>
        <w:rPr>
          <w:rFonts w:ascii="CG Omega" w:hAnsi="CG Omega"/>
        </w:rPr>
        <w:t xml:space="preserve">Wykonawca, który </w:t>
      </w:r>
      <w:r w:rsidR="005A244C" w:rsidRPr="005A244C">
        <w:rPr>
          <w:rFonts w:ascii="CG Omega" w:hAnsi="CG Omega"/>
        </w:rPr>
        <w:t>w sposób zawiniony poważnie naruszył obowiązki zawodowe,  w szczególności, gdy Wykonawca nie wykonał lub nienależycie wykonał zamówienie, co zamawiający jest w stanie wykazać za pomocą stosownych środków dowodowych.</w:t>
      </w:r>
    </w:p>
    <w:p w:rsidR="005A244C" w:rsidRPr="00EF30DA" w:rsidRDefault="005A244C" w:rsidP="005A244C">
      <w:pPr>
        <w:pStyle w:val="Akapitzlist"/>
        <w:spacing w:after="0" w:line="240" w:lineRule="auto"/>
        <w:ind w:left="1434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A4511D" w:rsidRDefault="00943E3A" w:rsidP="0032207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CG Omega" w:hAnsi="CG Omega"/>
          <w:smallCaps/>
        </w:rPr>
      </w:pPr>
      <w:r w:rsidRPr="00AB006F">
        <w:rPr>
          <w:rFonts w:ascii="CG Omega" w:hAnsi="CG Omega"/>
          <w:b/>
          <w:bCs/>
          <w:iCs/>
          <w:smallCaps/>
        </w:rPr>
        <w:lastRenderedPageBreak/>
        <w:t>Wykaz oświadczeń lub dokumentów, jakie mają dostarczyć Wykonawcy w celu potwierdzenia spełniania warunków udziału w postępowaniu</w:t>
      </w:r>
    </w:p>
    <w:p w:rsidR="00A4511D" w:rsidRPr="00A4511D" w:rsidRDefault="00A4511D" w:rsidP="00A4511D">
      <w:pPr>
        <w:spacing w:after="0" w:line="240" w:lineRule="auto"/>
        <w:jc w:val="both"/>
        <w:rPr>
          <w:rFonts w:ascii="CG Omega" w:hAnsi="CG Omega"/>
          <w:smallCaps/>
        </w:rPr>
      </w:pPr>
    </w:p>
    <w:p w:rsidR="00943E3A" w:rsidRDefault="00943E3A" w:rsidP="0032207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A4511D" w:rsidRPr="00915CC6" w:rsidRDefault="00915CC6" w:rsidP="00915C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2"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 1)   </w:t>
      </w:r>
      <w:r w:rsidR="00A4511D" w:rsidRPr="00915CC6">
        <w:rPr>
          <w:rFonts w:ascii="CG Omega" w:eastAsiaTheme="minorHAnsi" w:hAnsi="CG Omega" w:cstheme="minorBidi"/>
          <w:b/>
          <w:lang w:eastAsia="ar-SA"/>
        </w:rPr>
        <w:t>formularz ofertowy</w:t>
      </w:r>
      <w:r w:rsidR="00A4511D" w:rsidRPr="00915CC6">
        <w:rPr>
          <w:rFonts w:ascii="CG Omega" w:eastAsiaTheme="minorHAnsi" w:hAnsi="CG Omega" w:cstheme="minorBidi"/>
          <w:lang w:eastAsia="ar-SA"/>
        </w:rPr>
        <w:t xml:space="preserve"> przygotowany zgodnie ze wzorem podanym w zał. nr 1 do zapytania,</w:t>
      </w:r>
    </w:p>
    <w:p w:rsidR="00AB006F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a</w:t>
      </w:r>
      <w:r w:rsidR="00943E3A" w:rsidRPr="00A4511D">
        <w:rPr>
          <w:rFonts w:ascii="CG Omega" w:hAnsi="CG Omega"/>
          <w:b/>
        </w:rPr>
        <w:t>ktualne</w:t>
      </w:r>
      <w:r w:rsidR="00943E3A" w:rsidRPr="00A4511D">
        <w:rPr>
          <w:rFonts w:ascii="CG Omega" w:hAnsi="CG Omega"/>
        </w:rPr>
        <w:t xml:space="preserve"> na dzień składania ofert oświadczenia Wykonawcy, że nie podlega wykluczeniu oraz spełnia warunki udziału w postępowaniu – w zakresie wskazanym odpowiednio w </w:t>
      </w:r>
      <w:r w:rsidR="006A66C0" w:rsidRPr="00A4511D">
        <w:rPr>
          <w:rFonts w:ascii="CG Omega" w:hAnsi="CG Omega"/>
        </w:rPr>
        <w:t xml:space="preserve">załącznikach </w:t>
      </w:r>
      <w:r w:rsidR="00943E3A" w:rsidRPr="00A4511D">
        <w:rPr>
          <w:rFonts w:ascii="CG Omega" w:hAnsi="CG Omega"/>
        </w:rPr>
        <w:t>do zapytania ofertowego.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3E2EE1">
        <w:rPr>
          <w:rFonts w:ascii="CG Omega" w:eastAsiaTheme="minorHAnsi" w:hAnsi="CG Omega" w:cstheme="minorBidi"/>
          <w:b/>
          <w:lang w:eastAsia="ar-SA"/>
        </w:rPr>
        <w:t>wykaz</w:t>
      </w:r>
      <w:r w:rsidRPr="00A4511D">
        <w:rPr>
          <w:rFonts w:ascii="CG Omega" w:eastAsiaTheme="minorHAnsi" w:hAnsi="CG Omega" w:cstheme="minorBidi"/>
          <w:lang w:eastAsia="ar-SA"/>
        </w:rPr>
        <w:t xml:space="preserve"> osób, które będą uczestniczyć w wykonaniu zamówienia wraz z kserokopią uprawnień, </w:t>
      </w:r>
    </w:p>
    <w:p w:rsidR="00A4511D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o</w:t>
      </w:r>
      <w:r w:rsidR="00707167" w:rsidRPr="00A4511D">
        <w:rPr>
          <w:rFonts w:ascii="CG Omega" w:hAnsi="CG Omega"/>
          <w:b/>
        </w:rPr>
        <w:t>świadczenie</w:t>
      </w:r>
      <w:r w:rsidR="00707167" w:rsidRPr="00A4511D">
        <w:rPr>
          <w:rFonts w:ascii="CG Omega" w:hAnsi="CG Omega"/>
        </w:rPr>
        <w:t xml:space="preserve"> RODO</w:t>
      </w:r>
    </w:p>
    <w:p w:rsidR="00A4511D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o</w:t>
      </w:r>
      <w:r w:rsidR="005E2918" w:rsidRPr="00A4511D">
        <w:rPr>
          <w:rFonts w:ascii="CG Omega" w:hAnsi="CG Omega"/>
          <w:b/>
        </w:rPr>
        <w:t>świadczenie</w:t>
      </w:r>
      <w:r w:rsidR="005E2918" w:rsidRPr="00A4511D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="005E2918" w:rsidRPr="00A4511D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="005E2918" w:rsidRPr="00A4511D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A4511D" w:rsidRPr="00A4511D" w:rsidRDefault="00AB006F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aktualny odpis</w:t>
      </w:r>
      <w:r w:rsidRPr="00A4511D">
        <w:rPr>
          <w:rFonts w:ascii="CG Omega" w:hAnsi="CG Omega"/>
        </w:rPr>
        <w:t xml:space="preserve"> z właściwego rejestru lub z centralnej ewidencji i informacji o działalności  gospodarczej, jeżeli odrębne przepisy wymagają wpisu do rejestru lub ewidencji,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915CC6">
        <w:rPr>
          <w:rFonts w:ascii="CG Omega" w:hAnsi="CG Omega"/>
          <w:b/>
        </w:rPr>
        <w:t>pełnomocnictwo</w:t>
      </w:r>
      <w:r w:rsidRPr="00A4511D">
        <w:rPr>
          <w:rFonts w:ascii="CG Omega" w:hAnsi="CG Omega"/>
        </w:rPr>
        <w:t xml:space="preserve"> jeżeli umocowanie osoby wskazanej w ofercie nie wynika z dokumentów rejestrowych (jeżeli dotyczy),</w:t>
      </w:r>
    </w:p>
    <w:p w:rsidR="00903F24" w:rsidRPr="003E2EE1" w:rsidRDefault="00943E3A" w:rsidP="0032207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E2EE1">
        <w:rPr>
          <w:rFonts w:ascii="CG Omega" w:hAnsi="CG Omega"/>
        </w:rPr>
        <w:t>W przypadku wspólnego ubiegania się o zamówienie przez wykonawców, oświa</w:t>
      </w:r>
      <w:r w:rsidR="00903F24" w:rsidRPr="003E2EE1">
        <w:rPr>
          <w:rFonts w:ascii="CG Omega" w:hAnsi="CG Omega"/>
        </w:rPr>
        <w:t xml:space="preserve">dczenia </w:t>
      </w:r>
      <w:r w:rsidRPr="003E2EE1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 zakresie, w którym każdy z wykonawców wykazuje spełnianie warunków udziału w postępowaniu oraz brak podstaw wykluczenia.</w:t>
      </w:r>
    </w:p>
    <w:p w:rsidR="00903F24" w:rsidRDefault="00943E3A" w:rsidP="0032207C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32207C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32207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32207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32207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903F24" w:rsidRDefault="00943E3A" w:rsidP="0032207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CG Omega" w:hAnsi="CG Omega"/>
          <w:b/>
          <w:smallCaps/>
        </w:rPr>
      </w:pPr>
      <w:r w:rsidRPr="00903F24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 w:rsidRPr="00903F24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32207C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32207C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 xml:space="preserve">4 niniejszego zapytania ofertowego. W przypadku podmiotów wspólnie ubiegających się o </w:t>
      </w:r>
      <w:r w:rsidRPr="006D69AF">
        <w:rPr>
          <w:rFonts w:ascii="CG Omega" w:hAnsi="CG Omega"/>
        </w:rPr>
        <w:lastRenderedPageBreak/>
        <w:t>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32207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32207C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32207C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32207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32207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32207C">
      <w:pPr>
        <w:pStyle w:val="Akapitzlist"/>
        <w:numPr>
          <w:ilvl w:val="2"/>
          <w:numId w:val="17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32207C">
      <w:pPr>
        <w:pStyle w:val="Akapitzlist"/>
        <w:numPr>
          <w:ilvl w:val="2"/>
          <w:numId w:val="17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32207C">
      <w:pPr>
        <w:pStyle w:val="Akapitzlist"/>
        <w:numPr>
          <w:ilvl w:val="2"/>
          <w:numId w:val="17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32207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2C3754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943E3A" w:rsidRPr="00EF30DA" w:rsidRDefault="00943E3A" w:rsidP="002C3754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3A4D2B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3A4D2B">
              <w:rPr>
                <w:rFonts w:ascii="CG Omega" w:hAnsi="CG Omega"/>
                <w:b/>
                <w:sz w:val="22"/>
                <w:szCs w:val="22"/>
              </w:rPr>
              <w:t>Świadczenie usług obejmujących wycenę nieruchomości, na potrzeby związane z bieżącą gospodarką nieruchomościami w Urzędzie Gminy Wiązownica</w:t>
            </w:r>
            <w:r w:rsidR="003A4D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4D2B">
              <w:rPr>
                <w:rFonts w:ascii="CG Omega" w:hAnsi="CG Omega"/>
                <w:b/>
                <w:bCs/>
                <w:sz w:val="22"/>
                <w:szCs w:val="22"/>
              </w:rPr>
              <w:t>w  2020 r.”</w:t>
            </w:r>
            <w:r w:rsidR="003A4D2B">
              <w:rPr>
                <w:rFonts w:ascii="CG Omega" w:hAnsi="CG Omega"/>
                <w:b/>
                <w:sz w:val="22"/>
                <w:szCs w:val="22"/>
              </w:rPr>
              <w:t xml:space="preserve">  </w:t>
            </w: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1E76C0">
              <w:rPr>
                <w:rFonts w:ascii="CG Omega" w:hAnsi="CG Omega"/>
                <w:b/>
                <w:sz w:val="22"/>
                <w:szCs w:val="22"/>
              </w:rPr>
              <w:t xml:space="preserve"> 21</w:t>
            </w:r>
            <w:r w:rsidR="0077495C">
              <w:rPr>
                <w:rFonts w:ascii="CG Omega" w:hAnsi="CG Omega"/>
                <w:b/>
                <w:sz w:val="22"/>
                <w:szCs w:val="22"/>
              </w:rPr>
              <w:t>.01.2020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32207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32207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32207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1E76C0">
        <w:rPr>
          <w:rFonts w:ascii="CG Omega" w:eastAsiaTheme="minorHAnsi" w:hAnsi="CG Omega" w:cs="Arial"/>
          <w:b/>
        </w:rPr>
        <w:t xml:space="preserve">     </w:t>
      </w:r>
      <w:r w:rsidR="001E76C0">
        <w:rPr>
          <w:rFonts w:ascii="CG Omega" w:eastAsiaTheme="minorHAnsi" w:hAnsi="CG Omega" w:cs="Arial"/>
          <w:b/>
        </w:rPr>
        <w:tab/>
        <w:t>w terminie do dnia 21</w:t>
      </w:r>
      <w:r w:rsidR="0077495C">
        <w:rPr>
          <w:rFonts w:ascii="CG Omega" w:eastAsiaTheme="minorHAnsi" w:hAnsi="CG Omega" w:cs="Arial"/>
          <w:b/>
        </w:rPr>
        <w:t>-01-2020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2C3754">
        <w:rPr>
          <w:rFonts w:ascii="CG Omega" w:eastAsiaTheme="minorHAnsi" w:hAnsi="CG Omega" w:cs="Arial"/>
          <w:b/>
        </w:rPr>
        <w:t xml:space="preserve">     </w:t>
      </w:r>
      <w:r w:rsidR="001E76C0">
        <w:rPr>
          <w:rFonts w:ascii="CG Omega" w:eastAsiaTheme="minorHAnsi" w:hAnsi="CG Omega" w:cs="Arial"/>
          <w:b/>
        </w:rPr>
        <w:t xml:space="preserve">   </w:t>
      </w:r>
      <w:r w:rsidR="001E76C0">
        <w:rPr>
          <w:rFonts w:ascii="CG Omega" w:eastAsiaTheme="minorHAnsi" w:hAnsi="CG Omega" w:cs="Arial"/>
          <w:b/>
        </w:rPr>
        <w:tab/>
        <w:t>do dnia 21</w:t>
      </w:r>
      <w:r w:rsidR="0077495C">
        <w:rPr>
          <w:rFonts w:ascii="CG Omega" w:eastAsiaTheme="minorHAnsi" w:hAnsi="CG Omega" w:cs="Arial"/>
          <w:b/>
        </w:rPr>
        <w:t>-01-2020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32207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3220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32207C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32207C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32207C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32207C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32207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32207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32207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32207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32207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32207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32207C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32207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32207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32207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32207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32207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32207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32207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32207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943E3A" w:rsidP="0032207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32207C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32207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32207C">
      <w:pPr>
        <w:pStyle w:val="Akapitzlist"/>
        <w:numPr>
          <w:ilvl w:val="1"/>
          <w:numId w:val="6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32207C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32207C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32207C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32207C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32207C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32207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32207C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32207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32207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32207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32207C">
      <w:pPr>
        <w:pStyle w:val="Akapitzlist"/>
        <w:numPr>
          <w:ilvl w:val="2"/>
          <w:numId w:val="10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32207C">
      <w:pPr>
        <w:pStyle w:val="Akapitzlist"/>
        <w:numPr>
          <w:ilvl w:val="2"/>
          <w:numId w:val="10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32207C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32207C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32207C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32207C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32207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32207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32207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32207C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32207C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32207C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32207C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32207C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32207C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32207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32207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32207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32207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1C4855" w:rsidRDefault="00CD30EE" w:rsidP="003A4D2B">
      <w:pPr>
        <w:spacing w:after="0" w:line="240" w:lineRule="auto"/>
        <w:ind w:left="708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="003A4D2B">
        <w:rPr>
          <w:rFonts w:ascii="Arial" w:hAnsi="Arial" w:cs="Arial"/>
          <w:b/>
        </w:rPr>
        <w:t>„</w:t>
      </w:r>
      <w:r w:rsidR="003A4D2B">
        <w:rPr>
          <w:rFonts w:ascii="CG Omega" w:hAnsi="CG Omega"/>
          <w:b/>
        </w:rPr>
        <w:t xml:space="preserve">Świadczenie usług </w:t>
      </w:r>
      <w:r w:rsidR="003A4D2B">
        <w:rPr>
          <w:rFonts w:ascii="CG Omega" w:hAnsi="CG Omega"/>
          <w:b/>
        </w:rPr>
        <w:lastRenderedPageBreak/>
        <w:t>obejmujących wycenę nieruchomości, na potrzeby związane z bieżącą gospodarką nieruchomościami w Urzędzie Gminy Wiązownica</w:t>
      </w:r>
      <w:r w:rsidR="003A4D2B">
        <w:rPr>
          <w:rFonts w:ascii="Arial" w:hAnsi="Arial" w:cs="Arial"/>
          <w:b/>
        </w:rPr>
        <w:t xml:space="preserve"> </w:t>
      </w:r>
      <w:r w:rsidR="003A4D2B">
        <w:rPr>
          <w:rFonts w:ascii="CG Omega" w:hAnsi="CG Omega"/>
          <w:b/>
          <w:bCs/>
        </w:rPr>
        <w:t>w  2020 r.”</w:t>
      </w:r>
      <w:r w:rsidR="003A4D2B">
        <w:rPr>
          <w:rFonts w:ascii="CG Omega" w:hAnsi="CG Omega"/>
          <w:b/>
        </w:rPr>
        <w:t xml:space="preserve">  </w:t>
      </w: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946FEA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32207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32207C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32207C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32207C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32207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32207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32207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32207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32207C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32207C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32207C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32207C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32207C">
      <w:pPr>
        <w:pStyle w:val="Akapitzlist"/>
        <w:numPr>
          <w:ilvl w:val="0"/>
          <w:numId w:val="12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Oświadczenie</w:t>
      </w:r>
      <w:r w:rsidR="00FE1EBC">
        <w:rPr>
          <w:rFonts w:ascii="CG Omega" w:hAnsi="CG Omega"/>
        </w:rPr>
        <w:t xml:space="preserve"> </w:t>
      </w:r>
    </w:p>
    <w:p w:rsidR="00946FEA" w:rsidRDefault="00943E3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1E76C0" w:rsidRDefault="001E76C0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Zakres usług</w:t>
      </w:r>
      <w:bookmarkStart w:id="0" w:name="_GoBack"/>
      <w:bookmarkEnd w:id="0"/>
    </w:p>
    <w:p w:rsidR="00946FEA" w:rsidRDefault="00946FEA" w:rsidP="00946FEA">
      <w:pPr>
        <w:spacing w:after="0" w:line="240" w:lineRule="auto"/>
        <w:jc w:val="both"/>
        <w:rPr>
          <w:rFonts w:ascii="CG Omega" w:hAnsi="CG Omega"/>
        </w:rPr>
      </w:pPr>
    </w:p>
    <w:p w:rsidR="00946FEA" w:rsidRP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6FEA" w:rsidRPr="00946FEA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14398E" w:rsidRPr="009475A4" w:rsidRDefault="0014398E" w:rsidP="00ED2F1E"/>
    <w:p w:rsidR="005661BB" w:rsidRPr="009475A4" w:rsidRDefault="005661BB"/>
    <w:sectPr w:rsidR="005661BB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F3" w:rsidRDefault="009576F3" w:rsidP="00943E3A">
      <w:pPr>
        <w:spacing w:after="0" w:line="240" w:lineRule="auto"/>
      </w:pPr>
      <w:r>
        <w:separator/>
      </w:r>
    </w:p>
  </w:endnote>
  <w:endnote w:type="continuationSeparator" w:id="0">
    <w:p w:rsidR="009576F3" w:rsidRDefault="009576F3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F3" w:rsidRDefault="009576F3" w:rsidP="00943E3A">
      <w:pPr>
        <w:spacing w:after="0" w:line="240" w:lineRule="auto"/>
      </w:pPr>
      <w:r>
        <w:separator/>
      </w:r>
    </w:p>
  </w:footnote>
  <w:footnote w:type="continuationSeparator" w:id="0">
    <w:p w:rsidR="009576F3" w:rsidRDefault="009576F3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B8" w:rsidRPr="008475B8" w:rsidRDefault="008475B8" w:rsidP="008475B8">
    <w:pPr>
      <w:ind w:left="180"/>
      <w:jc w:val="center"/>
      <w:rPr>
        <w:rFonts w:ascii="CG Omega" w:hAnsi="CG Omega"/>
        <w:b/>
        <w:sz w:val="18"/>
        <w:szCs w:val="18"/>
      </w:rPr>
    </w:pPr>
    <w:r w:rsidRPr="008475B8">
      <w:rPr>
        <w:rFonts w:ascii="Arial" w:hAnsi="Arial" w:cs="Arial"/>
        <w:b/>
        <w:sz w:val="18"/>
        <w:szCs w:val="18"/>
      </w:rPr>
      <w:t>„</w:t>
    </w:r>
    <w:r w:rsidRPr="008475B8">
      <w:rPr>
        <w:rFonts w:ascii="CG Omega" w:hAnsi="CG Omega"/>
        <w:b/>
        <w:sz w:val="18"/>
        <w:szCs w:val="18"/>
      </w:rPr>
      <w:t>Świadczenie usług obejmujących wycenę nieruchomości, na potrzeby związane z bieżącą gospodarką nieruchomościami w  Gminie Wiązownica</w:t>
    </w:r>
    <w:r w:rsidRPr="008475B8">
      <w:rPr>
        <w:rFonts w:ascii="Arial" w:hAnsi="Arial" w:cs="Arial"/>
        <w:b/>
        <w:sz w:val="18"/>
        <w:szCs w:val="18"/>
      </w:rPr>
      <w:t xml:space="preserve"> </w:t>
    </w:r>
    <w:r w:rsidRPr="008475B8">
      <w:rPr>
        <w:rFonts w:ascii="CG Omega" w:hAnsi="CG Omega"/>
        <w:b/>
        <w:bCs/>
        <w:sz w:val="18"/>
        <w:szCs w:val="18"/>
      </w:rPr>
      <w:t>w  2020 r.”</w:t>
    </w:r>
  </w:p>
  <w:p w:rsidR="00601A31" w:rsidRPr="00ED2F1E" w:rsidRDefault="00601A31" w:rsidP="00486A4F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333A74"/>
    <w:multiLevelType w:val="hybridMultilevel"/>
    <w:tmpl w:val="6FD00624"/>
    <w:lvl w:ilvl="0" w:tplc="96DE5D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E33EC6"/>
    <w:multiLevelType w:val="hybridMultilevel"/>
    <w:tmpl w:val="DD0CB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65879"/>
    <w:multiLevelType w:val="multilevel"/>
    <w:tmpl w:val="B0B4946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2E2E76"/>
    <w:multiLevelType w:val="multilevel"/>
    <w:tmpl w:val="51C0B322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0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9"/>
  </w:num>
  <w:num w:numId="12">
    <w:abstractNumId w:val="13"/>
  </w:num>
  <w:num w:numId="13">
    <w:abstractNumId w:val="14"/>
  </w:num>
  <w:num w:numId="14">
    <w:abstractNumId w:val="22"/>
  </w:num>
  <w:num w:numId="15">
    <w:abstractNumId w:val="7"/>
  </w:num>
  <w:num w:numId="16">
    <w:abstractNumId w:val="23"/>
  </w:num>
  <w:num w:numId="17">
    <w:abstractNumId w:val="12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11"/>
  </w:num>
  <w:num w:numId="23">
    <w:abstractNumId w:val="4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1156"/>
    <w:rsid w:val="00055792"/>
    <w:rsid w:val="000873EE"/>
    <w:rsid w:val="000C13A9"/>
    <w:rsid w:val="000C3C52"/>
    <w:rsid w:val="000D4F3D"/>
    <w:rsid w:val="000E1A9F"/>
    <w:rsid w:val="00132379"/>
    <w:rsid w:val="0014398E"/>
    <w:rsid w:val="001653DA"/>
    <w:rsid w:val="00177802"/>
    <w:rsid w:val="00187CEB"/>
    <w:rsid w:val="001A0E3D"/>
    <w:rsid w:val="001A2D29"/>
    <w:rsid w:val="001A4CA8"/>
    <w:rsid w:val="001B22BB"/>
    <w:rsid w:val="001B2CE5"/>
    <w:rsid w:val="001C4855"/>
    <w:rsid w:val="001E340F"/>
    <w:rsid w:val="001E76C0"/>
    <w:rsid w:val="00224F4C"/>
    <w:rsid w:val="00263344"/>
    <w:rsid w:val="002946B1"/>
    <w:rsid w:val="002A0BE0"/>
    <w:rsid w:val="002A6EC1"/>
    <w:rsid w:val="002B48F4"/>
    <w:rsid w:val="002C3754"/>
    <w:rsid w:val="002C3F3A"/>
    <w:rsid w:val="002E734A"/>
    <w:rsid w:val="00315DF4"/>
    <w:rsid w:val="0032207C"/>
    <w:rsid w:val="00345C78"/>
    <w:rsid w:val="0036521E"/>
    <w:rsid w:val="00370221"/>
    <w:rsid w:val="003A0BEC"/>
    <w:rsid w:val="003A4D2B"/>
    <w:rsid w:val="003E2EE1"/>
    <w:rsid w:val="003F3BAF"/>
    <w:rsid w:val="00404905"/>
    <w:rsid w:val="00431F58"/>
    <w:rsid w:val="00433547"/>
    <w:rsid w:val="00441E62"/>
    <w:rsid w:val="0044240B"/>
    <w:rsid w:val="0048364B"/>
    <w:rsid w:val="00486A4F"/>
    <w:rsid w:val="00491307"/>
    <w:rsid w:val="004D6415"/>
    <w:rsid w:val="005005BD"/>
    <w:rsid w:val="005111AA"/>
    <w:rsid w:val="005120DA"/>
    <w:rsid w:val="005418BD"/>
    <w:rsid w:val="005661BB"/>
    <w:rsid w:val="005722E0"/>
    <w:rsid w:val="005A244C"/>
    <w:rsid w:val="005B5371"/>
    <w:rsid w:val="005E27AB"/>
    <w:rsid w:val="005E2918"/>
    <w:rsid w:val="005F49F2"/>
    <w:rsid w:val="00601A31"/>
    <w:rsid w:val="00647C9B"/>
    <w:rsid w:val="006656D9"/>
    <w:rsid w:val="0068298E"/>
    <w:rsid w:val="006A66C0"/>
    <w:rsid w:val="006D69AF"/>
    <w:rsid w:val="00707167"/>
    <w:rsid w:val="00735F83"/>
    <w:rsid w:val="0077495C"/>
    <w:rsid w:val="0078317F"/>
    <w:rsid w:val="008041CB"/>
    <w:rsid w:val="00806C71"/>
    <w:rsid w:val="00810307"/>
    <w:rsid w:val="008408BC"/>
    <w:rsid w:val="008475B8"/>
    <w:rsid w:val="00856AB7"/>
    <w:rsid w:val="00866E9C"/>
    <w:rsid w:val="0088459D"/>
    <w:rsid w:val="00885ED4"/>
    <w:rsid w:val="008B5189"/>
    <w:rsid w:val="00903F24"/>
    <w:rsid w:val="00915CC6"/>
    <w:rsid w:val="009214DC"/>
    <w:rsid w:val="00930BFD"/>
    <w:rsid w:val="00942EBA"/>
    <w:rsid w:val="00943E3A"/>
    <w:rsid w:val="00946FEA"/>
    <w:rsid w:val="009475A4"/>
    <w:rsid w:val="009576F3"/>
    <w:rsid w:val="00966896"/>
    <w:rsid w:val="009822DF"/>
    <w:rsid w:val="009B2310"/>
    <w:rsid w:val="00A10642"/>
    <w:rsid w:val="00A33A37"/>
    <w:rsid w:val="00A37164"/>
    <w:rsid w:val="00A408AB"/>
    <w:rsid w:val="00A4511D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514F3"/>
    <w:rsid w:val="00C711A0"/>
    <w:rsid w:val="00C81C05"/>
    <w:rsid w:val="00C82681"/>
    <w:rsid w:val="00CB17CC"/>
    <w:rsid w:val="00CC72C5"/>
    <w:rsid w:val="00CD2807"/>
    <w:rsid w:val="00CD30EE"/>
    <w:rsid w:val="00CF26EE"/>
    <w:rsid w:val="00CF32A5"/>
    <w:rsid w:val="00D60C09"/>
    <w:rsid w:val="00DF2A08"/>
    <w:rsid w:val="00E02F66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203D-3F67-4007-A06D-BF86D81C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4788</Words>
  <Characters>28730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74</cp:revision>
  <cp:lastPrinted>2020-01-09T07:44:00Z</cp:lastPrinted>
  <dcterms:created xsi:type="dcterms:W3CDTF">2019-03-28T08:53:00Z</dcterms:created>
  <dcterms:modified xsi:type="dcterms:W3CDTF">2020-01-15T10:14:00Z</dcterms:modified>
</cp:coreProperties>
</file>