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Default="00127CBD" w:rsidP="002224BE">
      <w:pPr>
        <w:overflowPunct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533658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zawarta w ………….., w dniu …… 2018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325B33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2224BE">
        <w:rPr>
          <w:rFonts w:ascii="CG Omega" w:hAnsi="CG Omega"/>
          <w:b/>
          <w:szCs w:val="22"/>
          <w:lang w:val="pl-PL"/>
        </w:rPr>
        <w:t xml:space="preserve">Marian Jerzy </w:t>
      </w:r>
      <w:proofErr w:type="spellStart"/>
      <w:r w:rsidRPr="002224BE">
        <w:rPr>
          <w:rFonts w:ascii="CG Omega" w:hAnsi="CG Omega"/>
          <w:b/>
          <w:szCs w:val="22"/>
          <w:lang w:val="pl-PL"/>
        </w:rPr>
        <w:t>Ryznar</w:t>
      </w:r>
      <w:proofErr w:type="spellEnd"/>
      <w:r w:rsidR="00127CBD" w:rsidRPr="002224BE">
        <w:rPr>
          <w:rFonts w:ascii="CG Omega" w:hAnsi="CG Omega"/>
          <w:b/>
          <w:szCs w:val="22"/>
          <w:lang w:val="pl-PL"/>
        </w:rPr>
        <w:t xml:space="preserve"> – Wójt Gminy </w:t>
      </w:r>
      <w:r w:rsidRPr="002224BE">
        <w:rPr>
          <w:rFonts w:ascii="CG Omega" w:hAnsi="CG Omega"/>
          <w:b/>
          <w:szCs w:val="22"/>
          <w:lang w:val="pl-PL"/>
        </w:rPr>
        <w:t>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2224BE" w:rsidRPr="002224BE">
        <w:rPr>
          <w:rFonts w:ascii="CG Omega" w:hAnsi="CG Omega"/>
          <w:b/>
          <w:szCs w:val="22"/>
          <w:lang w:val="pl-PL"/>
        </w:rPr>
        <w:t xml:space="preserve">Anety </w:t>
      </w:r>
      <w:proofErr w:type="spellStart"/>
      <w:r w:rsidR="002224BE" w:rsidRPr="002224BE">
        <w:rPr>
          <w:rFonts w:ascii="CG Omega" w:hAnsi="CG Omega"/>
          <w:b/>
          <w:szCs w:val="22"/>
          <w:lang w:val="pl-PL"/>
        </w:rPr>
        <w:t>Dziduch</w:t>
      </w:r>
      <w:proofErr w:type="spellEnd"/>
      <w:r w:rsidRPr="002224BE">
        <w:rPr>
          <w:rFonts w:ascii="CG Omega" w:hAnsi="CG Omega"/>
          <w:b/>
          <w:szCs w:val="22"/>
          <w:lang w:val="pl-PL"/>
        </w:rPr>
        <w:t xml:space="preserve"> – Skarbnika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Działając na podstawie ustawy z dnia 29.01.2004 r. Prawo zamówień publicznych, 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Pr="002224BE">
        <w:rPr>
          <w:rFonts w:ascii="CG Omega" w:hAnsi="CG Omega"/>
          <w:szCs w:val="22"/>
          <w:lang w:val="pl-PL"/>
        </w:rPr>
        <w:t xml:space="preserve"> przetargu,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E72EB9">
        <w:rPr>
          <w:rFonts w:ascii="CG Omega" w:hAnsi="CG Omega"/>
          <w:szCs w:val="22"/>
          <w:lang w:val="pl-PL"/>
        </w:rPr>
        <w:t>2 230 000 złotych (słownie: dwa miliony dwieście trzydzieści tys. zł.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>tj. od dnia ………….</w:t>
      </w:r>
      <w:r w:rsidRPr="002224BE">
        <w:rPr>
          <w:rFonts w:ascii="CG Omega" w:hAnsi="CG Omega"/>
          <w:szCs w:val="22"/>
          <w:lang w:val="pl-PL"/>
        </w:rPr>
        <w:t>z okresem spłaty rozpoczynaj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7B2480">
        <w:rPr>
          <w:rFonts w:ascii="CG Omega" w:hAnsi="CG Omega"/>
          <w:szCs w:val="22"/>
          <w:lang w:val="pl-PL"/>
        </w:rPr>
        <w:t>najpóźniej 29 marca 2019</w:t>
      </w:r>
      <w:r w:rsidRPr="002224BE">
        <w:rPr>
          <w:rFonts w:ascii="CG Omega" w:hAnsi="CG Omega"/>
          <w:szCs w:val="22"/>
          <w:lang w:val="pl-PL"/>
        </w:rPr>
        <w:t xml:space="preserve"> r.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3.  </w:t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7B2480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sfinansowanie planowanego deficytu w kwocie 123 400 zł. 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>
        <w:rPr>
          <w:rFonts w:ascii="CG Omega" w:hAnsi="CG Omega"/>
          <w:szCs w:val="22"/>
          <w:lang w:val="pl-PL"/>
        </w:rPr>
        <w:t xml:space="preserve"> w kwocie 2 106 600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 kredytu, wskazanej w §1 ust. 1. i  w konsekwencji do obniżenia wysokości poszczególnych transz kredytu, a także do zmiany terminów tych transz. Zmiany te wymagają aneksu do umowy.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2.</w:t>
      </w:r>
      <w:r w:rsidRPr="002224BE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color w:val="000000"/>
          <w:szCs w:val="22"/>
          <w:lang w:val="pl-PL"/>
        </w:rPr>
        <w:t>Kredytobiorca poinformuje Bank o ostatecznej wysokości kredytu bądź odstąpieniu o</w:t>
      </w:r>
      <w:r w:rsidR="00E72EB9">
        <w:rPr>
          <w:rFonts w:ascii="CG Omega" w:hAnsi="CG Omega"/>
          <w:color w:val="000000"/>
          <w:szCs w:val="22"/>
          <w:lang w:val="pl-PL"/>
        </w:rPr>
        <w:t>d umowy najpóźniej do 31.12.2018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r.</w:t>
      </w:r>
      <w:r w:rsidRPr="002224BE">
        <w:rPr>
          <w:rFonts w:ascii="CG Omega" w:hAnsi="CG Omega"/>
          <w:color w:val="FF0000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lastRenderedPageBreak/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cie 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ostatni okres obrachunkowy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czy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dniu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całkowit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</w:t>
      </w:r>
      <w:r w:rsidR="00E72EB9">
        <w:rPr>
          <w:rFonts w:ascii="CG Omega" w:hAnsi="CG Omega"/>
          <w:szCs w:val="22"/>
          <w:lang w:val="pl-PL"/>
        </w:rPr>
        <w:t>redytu, najpóźniej do 31.12.2025</w:t>
      </w:r>
      <w:r w:rsidRPr="002224BE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>.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410EED">
        <w:rPr>
          <w:rFonts w:ascii="CG Omega" w:hAnsi="CG Omega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rozpocznie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E72EB9">
        <w:rPr>
          <w:rFonts w:ascii="CG Omega" w:hAnsi="CG Omega"/>
          <w:szCs w:val="22"/>
          <w:lang w:val="pl-PL"/>
        </w:rPr>
        <w:t>najpóźniej od 29.03.2019 r. i trwać będzie przez okres 7</w:t>
      </w:r>
      <w:r w:rsidRPr="002224BE">
        <w:rPr>
          <w:rFonts w:ascii="CG Omega" w:hAnsi="CG Omega"/>
          <w:szCs w:val="22"/>
          <w:lang w:val="pl-PL"/>
        </w:rPr>
        <w:t xml:space="preserve"> lat</w:t>
      </w:r>
      <w:r w:rsidR="00631732">
        <w:rPr>
          <w:rFonts w:ascii="CG Omega" w:hAnsi="CG Omega"/>
          <w:szCs w:val="22"/>
          <w:lang w:val="pl-PL"/>
        </w:rPr>
        <w:t xml:space="preserve"> do 31.12.2025 r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 po ……….. zł (słownie: ………………………………………… złotych)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631732">
        <w:rPr>
          <w:rFonts w:ascii="CG Omega" w:hAnsi="CG Omega"/>
          <w:szCs w:val="22"/>
          <w:lang w:val="pl-PL"/>
        </w:rPr>
        <w:t>82 ratach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1. Strony ustalają, że łączna wartość odsetek (pełne koszty ud</w:t>
      </w:r>
      <w:r w:rsidR="00E72EB9">
        <w:rPr>
          <w:rFonts w:ascii="CG Omega" w:hAnsi="CG Omega"/>
          <w:szCs w:val="22"/>
          <w:lang w:val="pl-PL"/>
        </w:rPr>
        <w:t xml:space="preserve">zielenia kredytu) od kwoty 2 230 000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ofertą Banku (kosztorys ofertowy i 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9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127CBD" w:rsidRPr="00631732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lastRenderedPageBreak/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E72EB9" w:rsidRPr="002224BE" w:rsidRDefault="00E72EB9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bookmarkStart w:id="0" w:name="_GoBack"/>
      <w:bookmarkEnd w:id="0"/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przez art. 144 ustawy z dnia 29 stycznia 2004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 xml:space="preserve">publicznych (Dz. U. z </w:t>
      </w:r>
      <w:r w:rsidR="00E72EB9">
        <w:rPr>
          <w:rFonts w:ascii="CG Omega" w:hAnsi="CG Omega"/>
          <w:color w:val="000000"/>
          <w:szCs w:val="22"/>
          <w:lang w:val="pl-PL"/>
        </w:rPr>
        <w:t>2017 r. poz. 1579 ze zm.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przepisy Kodeksu cywilnego 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B36044" w:rsidRPr="00B36044" w:rsidRDefault="00B36044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ind w:right="-1"/>
        <w:jc w:val="center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1) Kosztorys ofertowy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2) Formularz ofertowy 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3)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F7" w:rsidRDefault="00632CF7">
      <w:r>
        <w:separator/>
      </w:r>
    </w:p>
  </w:endnote>
  <w:endnote w:type="continuationSeparator" w:id="0">
    <w:p w:rsidR="00632CF7" w:rsidRDefault="0063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632C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7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2C62" w:rsidRDefault="00632C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F7" w:rsidRDefault="00632CF7">
      <w:r>
        <w:separator/>
      </w:r>
    </w:p>
  </w:footnote>
  <w:footnote w:type="continuationSeparator" w:id="0">
    <w:p w:rsidR="00632CF7" w:rsidRDefault="0063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10053C"/>
    <w:rsid w:val="00127CBD"/>
    <w:rsid w:val="001F236A"/>
    <w:rsid w:val="002224BE"/>
    <w:rsid w:val="00325B33"/>
    <w:rsid w:val="0036521E"/>
    <w:rsid w:val="00410EED"/>
    <w:rsid w:val="00533658"/>
    <w:rsid w:val="00631732"/>
    <w:rsid w:val="00632CF7"/>
    <w:rsid w:val="006F1C4A"/>
    <w:rsid w:val="007B2480"/>
    <w:rsid w:val="008E474E"/>
    <w:rsid w:val="00B17BDA"/>
    <w:rsid w:val="00B36044"/>
    <w:rsid w:val="00E72EB9"/>
    <w:rsid w:val="00E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2018-08-30T06:25:00Z</cp:lastPrinted>
  <dcterms:created xsi:type="dcterms:W3CDTF">2015-07-31T07:23:00Z</dcterms:created>
  <dcterms:modified xsi:type="dcterms:W3CDTF">2018-08-31T06:42:00Z</dcterms:modified>
</cp:coreProperties>
</file>