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96" w:rsidRDefault="00467696" w:rsidP="004676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SPECYFIKACJA DOSTAW</w:t>
      </w:r>
    </w:p>
    <w:p w:rsidR="00467696" w:rsidRDefault="00467696" w:rsidP="005D304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57B7" w:rsidRDefault="00EB57B7" w:rsidP="00045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Wyposażenie pracowni matematycznej w ZS w Piwodzie</w:t>
      </w:r>
    </w:p>
    <w:p w:rsidR="00045960" w:rsidRPr="001427ED" w:rsidRDefault="00045960" w:rsidP="00045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22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1880"/>
        <w:gridCol w:w="3802"/>
        <w:gridCol w:w="1173"/>
        <w:gridCol w:w="1112"/>
        <w:gridCol w:w="1035"/>
        <w:gridCol w:w="1134"/>
        <w:gridCol w:w="1417"/>
      </w:tblGrid>
      <w:tr w:rsidR="00986908" w:rsidTr="00986908">
        <w:trPr>
          <w:trHeight w:val="549"/>
          <w:jc w:val="center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GŁÓWNYCH PARAMETRÓW TECHNICZNYCH</w:t>
            </w:r>
          </w:p>
        </w:tc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WARTOSĆ JEDNOSTKOWA (zł)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986908" w:rsidTr="00986908">
        <w:trPr>
          <w:trHeight w:val="312"/>
          <w:jc w:val="center"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908" w:rsidTr="00986908">
        <w:trPr>
          <w:trHeight w:val="946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065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– tabliczka mnożenia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jej skład wchodzi: </w:t>
            </w:r>
          </w:p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dwustronnych plansz z działaniami (22 x 27 cm), 200 kartoników z wynikami (4,5 x 4,5 cm), pudełko z przegródkami oraz instrukcja.</w:t>
            </w:r>
          </w:p>
          <w:p w:rsidR="00986908" w:rsidRPr="00463C33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Plansze i kartoniki wykonane są z grubego kartonu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47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463C33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Błyskawiczna tabliczka mnożenia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6908" w:rsidRPr="00463C33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skład wchodzi: 4 drewniane stojaki z ruchomymi klapkami (wym. 26 x 6 x 6 cm), 4 drewniane kostki o boku 2,5 cm oraz instrukcja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1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463C33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Abaco – tabliczka mnożenia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D249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Trwała tabliczka wykonana z mocnego tworzywa o wymiarach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: 22 x 22 x 2 cm</w:t>
            </w:r>
          </w:p>
          <w:p w:rsidR="00986908" w:rsidRDefault="00986908" w:rsidP="00D249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Liczydło kulkowe zawiera wszystkie działania 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mnożenie liczb w zakresie 100.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ułamkowe magnetyczne – 20 elementów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E35992" w:rsidRDefault="00986908" w:rsidP="002A74C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przedstawia całość oraz ułamki 1/2, 1/3 i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/4 w magnetycznej formie kul i sześcianów. Bryły wykonane są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estetyc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znego, wytrzymałego tworzywa.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Zawartość: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brył magnetycznych: 4 kule o średnicy 7,6 cm,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sześciany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 boku 7,6 cm,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pudełko i podstawa do przechowywania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51A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obliczanie kątów (4 komplety)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F941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Kostki domina wykonane są z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grubego tworzywa o zaokrąglonych rogach.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stanowi 4 komplety, po 24 kostki domina każdy. Wymiar kostki 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x 8 cm. Umieszczone w twardym, kartonowym pudełku.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EDUSENSUS MATEMATYKA – pakiet 5 programów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 składa się z 5 programów. Pakiet w wersji sieciowej na 10 stanowisk.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 się z następujących części: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 Działania na liczbach 1-20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 Działania na liczbach do 100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 Działania na liczbach do 1000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 Działania na liczbach wielocyfrowych. Ułamki dziesiętne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 Działania na liczbach wielocyfrowych. Ułamki, procenty, czas, miary i wagi.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Lekcjoteka kl. IV-VI - matematyka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Lekcjoteka – program służący do prowadzenia lekcji z tablicą interaktywną lub rzutnikiem.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możliwością zainstalowania jednej płyty na sześciu stanowiskach. Lekcjoteka zawiera: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- 36 zagadnień ze scenariuszami lekcji w formie drukowanej i elektronicznej (pliki PDF),</w:t>
            </w:r>
          </w:p>
          <w:p w:rsidR="00986908" w:rsidRPr="007C2A5D" w:rsidRDefault="00986908" w:rsidP="00C155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- 115 animacji,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symulacji i ilustracji,</w:t>
            </w:r>
          </w:p>
          <w:p w:rsidR="00986908" w:rsidRPr="007C2A5D" w:rsidRDefault="00986908" w:rsidP="00C1550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ok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70 interaktywnych ćwiczeń, prezentacji, gier i filmów,</w:t>
            </w:r>
          </w:p>
          <w:p w:rsidR="00986908" w:rsidRPr="00C15509" w:rsidRDefault="00986908" w:rsidP="00664AE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filmy instruktażowe, dotyczące  m.in. obsługi tablicy interaktywnej oraz pracy z programem.</w:t>
            </w:r>
            <w:r w:rsidRPr="00C15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Ułamki  - modularne kart spiralne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do demonstracji części ułamkowych koła i różnych ich zapisów: ułamek zwykły, ułamek dziesiętny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ułamek procentowy. Pomoc składa się ze sczepialnych modułów, na których znajdują się spiralne karty demonstracyjne. Zawartość: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 moduły o boku 15,2 cm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instrukcja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Ułamkowe listwy 24 + 1 magnetyczne szerokie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zawiera:</w:t>
            </w:r>
          </w:p>
          <w:p w:rsidR="00986908" w:rsidRDefault="00986908" w:rsidP="00386DB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- 1 komplet ułamkowych listew magnetycznych do demonstracji ćwiczeń na tablicy,</w:t>
            </w:r>
          </w:p>
          <w:p w:rsidR="00986908" w:rsidRPr="00B65497" w:rsidRDefault="00986908" w:rsidP="00386D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- 24 komplety listew ułamkowych do indywidualnych ćwiczeń uczniowskich.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B61E36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Ułamkowe listwy 24 + 1 magnetyczne wąskie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Zestaw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1 komplet wąskich ułamkowych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w magnetycznych do demonstr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acji ćwiczeń na tablicy,</w:t>
            </w:r>
          </w:p>
          <w:p w:rsidR="00986908" w:rsidRPr="007C2A5D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24 komplety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w ułamkowych do indywidualnych ćwiczeń uczniowskich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Obrazkowa matematyka – liczmany, cyfry, znaki magnetyczne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Zawartość: </w:t>
            </w:r>
          </w:p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140 liczmanów (14 wzorów po 10 sztuk każdy: jabłka, gruszki, banany, krowy, konie, psy, koty, balony, samochody, rowery, statki, samoloty, dziewczynki i chłopcy) </w:t>
            </w:r>
          </w:p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- 42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afelki z liczbami 0-20 (po 2 sztuki) - 14 kafelków ze znakami: +, -, x, :, =, &lt;, &gt; (po 2 sztuki)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 kafelków 5,3 x 5,3 cm.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543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ymiar obrazków ok. 13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543DFD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lementy wykonane z laminowanego PC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V podklejonego folią magnetyczną.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6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Tęczowe matematyczne walce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podstawie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E70B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Zawartość:</w:t>
            </w:r>
          </w:p>
          <w:p w:rsidR="00986908" w:rsidRPr="007C2A5D" w:rsidRDefault="00986908" w:rsidP="00E70B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 drewniana solidna tablica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wgłębieniami w układzie 10 x 10 (wym. 45 x 45 x 2 cm)</w:t>
            </w:r>
          </w:p>
          <w:p w:rsidR="00986908" w:rsidRPr="00BF02AB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100 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lców w 10 kolorach (najniższy o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wys. 1 cm, najwyższy o wys. 10 cm)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zegarowa z systemem kół zębatych – zestaw klasowy 24+1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8F7E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Zawartość:</w:t>
            </w:r>
          </w:p>
          <w:p w:rsidR="00986908" w:rsidRPr="007C2A5D" w:rsidRDefault="00986908" w:rsidP="008F7E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 demonstracy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jna tarcza zegarowa o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średnicy 34,3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Default="00986908" w:rsidP="008F7E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24 tarcze ćwiczeniowe o średnicy </w:t>
            </w:r>
          </w:p>
          <w:p w:rsidR="00986908" w:rsidRPr="007C2A5D" w:rsidRDefault="00986908" w:rsidP="008F7E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10,2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8F7E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Tarcze mają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wbudowany system kół zębatych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wykonane są z estetycznego i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trwałego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 Posiadają dwa kolory wskazówek, które są zgodne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podziałką 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rczy na godziny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minuty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8F7E09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Tarcze służą do odczytu oraz mierzenia czasu.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Kąty w bryłach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B65497" w:rsidRDefault="00986908" w:rsidP="00BA0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 ona osiem kompletów,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których każdy przeznaczony jest do jednej 3-4 osobowej grupy. Zestawy ró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żnią się między sobą kolorami i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oznaczeniami literowo - liczbowymi.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Pojedynczy komplet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kłada się z 25-ciu kartoników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rysunkami rzutów rów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noległych brył przestrzennych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zaznaczonymi kątami. Kartoniki te ozna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czone są symbolami literowymi w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dolnym prawym rogu. Każdemu kartonikowi z rysunkiem odpowiada drugi, na którym umieszczona jest pra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widłowa nazwa kąta. Kartoniki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nazwami kątów oznaczone są symbolami liczbowymi.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 – plansze drukowane z płytą CD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lansze dydaktyczne opracowane w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oparciu o podstawę programowa nauczania matematyki w klasach IV-VI szkoły podstawowej.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Zawiera 60 kolorowych plansz formatu A3 oraz płytę CD. Płyta zawiera wszystkie plansze w wersji graficznej,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 także dodatkowo 60 ilustrowanych kart pracy do wydruku.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Spis plansz: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1. Dziesiątkowy system pozycyjny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2. Rzymski system zapisu liczb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3. Liczby naturalne na osi liczbowej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4. Dodawanie i odejmowanie liczb naturalnych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5. Mnożenie liczb naturalnych- własności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6. Kolejność wykonywania działań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7. Potęgowanie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8. Podzielność liczb naturalnych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9. Ułamki zwykle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10. Ułamki zwykle na osi liczbowej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11. Rozszerzanie i skracanie ułamków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12. Porównywanie ułamków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13. Dodawanie i odejmowanie ułamków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14. Ułamki niewłaściwe i liczby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mieszane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15. Ułamki dziesiętne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16.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równywanie ułamków dziesiętnych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oś liczbowa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17. Wyrażenia algebraiczne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18. Wartość liczbowa wyrażeń algebraicznych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19. Liczby ujemne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20. Liczby ujemne na osi liczbowej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21. Procenty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22. Obliczenia procentowe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23. Prostokątny układ współrzędnych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24. Przyporządkowania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25. Diagram obrazkowy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26. Diagram słupkowy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27. Diagram prostokątny i kołowy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28. Skala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29. Plan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30. Czas i kalendarz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31. Podstawowe figury geometryczne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32.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Prosta, półprosta, odcinek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33. 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amana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34. Długość odcinka. Jednostki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długości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35. Rodzaje ką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36. Katy przylegle, wierzchołkowe, odpowiadające i naprzemi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anlegle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37. Prostokąt i kwadrat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własności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38. Pole prostokąta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 Jednostki pola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39. Okrąg i koło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40. Kąty w kole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41. Trójkąt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własności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42. Katy w trójkącie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43. Klasyfikacja trójkątów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44. Równoległobok i romb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45. Trapez i deltoid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46. Podział czworokątów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47. Pole trójkąta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48. Pole równoległoboku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49. Pole rombu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50. Pole trapezu i del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toidu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51. Symetria osiowa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52. Oś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symetrii figury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53. Prostopadłościan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54. Siatki prostopadłoś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cianu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55. Objętość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jednostki objętości,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56. Pole powierzchni prostopadłościanu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57. Objętość  prostopadłościanu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58. Graniastosłup prosty, siatki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59. Pole powierzchni i objętość graniastosłupa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60. Ostrosłup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Mozaika wielokątów – magnetyczna do demonstracji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A349A1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47 elementów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kolorowej folii magnetycznej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w formie s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ześciokąt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wym. 15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 i własności wielokątów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4373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Zawartość: </w:t>
            </w:r>
          </w:p>
          <w:p w:rsidR="00986908" w:rsidRDefault="00986908" w:rsidP="004373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- 52 elementów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tworzywa (do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podklejenia magnetyczna folia),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ażdy komplet zapakowany w osobny worek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986908" w:rsidRDefault="00986908" w:rsidP="004373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amykana walizka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986908" w:rsidRDefault="00986908" w:rsidP="004373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szczegółowa instrukcja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86908" w:rsidRPr="007C2A5D" w:rsidRDefault="00986908" w:rsidP="004373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Intencją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poszczególnych kompletów jest wyprowadzanie wzorów na pole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 figur, aby uczniowie znali nie tylko samą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formułkę, lecz potrafili wyprowadzić te wzory w odniesieniu do wzoru podstawowego, jakim jest wzór na pole prostokąta.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wadraty decymalne z podziałką 1 cm</w:t>
            </w:r>
            <w:r w:rsidRPr="00583C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miarki umożliwiają wprowadzanie jednostek miary pola.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47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Wielokąty – zestaw klasowy, 15 kształtów – 450 sztuk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estaw 15 różnych związanych ze sobą kształtów opisanych literami.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komplecie 450 figur wykonanych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wysokiej jakości, przezroczystego tworzywa w 6 kolorach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D513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5133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Zawartość: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450 wielokątów w 15 kształtach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umieszczonych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D513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przeźroczystym wiaderku </w:t>
            </w:r>
          </w:p>
          <w:p w:rsidR="00986908" w:rsidRPr="00D51333" w:rsidRDefault="00986908" w:rsidP="00D513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przykrywką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instrukcją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metodyczn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Bryły 10 cm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wyznaczonymi płaszczyznami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3F57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Komplet brył  z dodatkowymi podstawami i płytkami. Płytki można mocować w podstawach brył tak, aby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wyznaczać różne płaszczyzny w ich wnętrzu. Przeźroczystość  brył umożliwia obserwacje wyznaczonych płaszczyzn z różnych stron.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Zawartość: </w:t>
            </w:r>
          </w:p>
          <w:p w:rsidR="00986908" w:rsidRDefault="00986908" w:rsidP="003F57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 brył z przezro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czystego tworzywa </w:t>
            </w:r>
          </w:p>
          <w:p w:rsidR="00986908" w:rsidRDefault="00986908" w:rsidP="003F57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(wys. 10 cm),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3F57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- 5 podstaw z wypustkami,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3F57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ytki do wyznaczania płaszczyzn. 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szystkie elementy wykonane </w:t>
            </w:r>
          </w:p>
          <w:p w:rsidR="00986908" w:rsidRPr="003F579B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mocnego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Bryły 15 cm przeźroczyste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podstawami – 10 brył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3F57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Zestaw zawiera 10 wysokich brył wykonanych z przezr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oczystego zielonkawego tworzywa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które posiadają kolorowe ruchome podstawy.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Do brył można nasypać kaszy lub nalać wody, gdyż podstawy można wyjąć. Stosunek podstawy do wysokości wynosi zawsze 1:2. </w:t>
            </w:r>
          </w:p>
          <w:p w:rsidR="00986908" w:rsidRDefault="00986908" w:rsidP="003F57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Zawartość: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 brył o wys. 15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3F579B" w:rsidRDefault="00986908" w:rsidP="003F57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Zostały 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ykonane z mocnego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geometryczne składane – 8 brył, 8 siatek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E63E41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Zawartość: 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a)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8 brył przeźroczystych z ruchomą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  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podstawą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b)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 kolorowych siatek do składania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Siatkę po złożeniu można umieścić </w:t>
            </w:r>
          </w:p>
          <w:p w:rsidR="00986908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środku bryły,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którą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widać poprzez prze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źroczyste ściany brył.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Bryły można napełniać wodą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mater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iałem sypkim w celu porównania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objętości figur.</w:t>
            </w:r>
          </w:p>
          <w:p w:rsidR="00986908" w:rsidRPr="00E63E41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63E4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Spis brył: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3.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sześcian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prostopadłościan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5.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trójkątny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graniastosłup sześciokątny 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7.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czworościan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8. ostrosłup o podstawie kwadratu.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Bryły 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siatki wykonane są z trwałego i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estetycznego tworzywa.</w:t>
            </w:r>
          </w:p>
          <w:p w:rsidR="00986908" w:rsidRPr="00E63E41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63E4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Zastosowanie: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składanie i rozkładanie brył,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tworzenie siatek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obliczanie powierzchni brył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mierzenie objętości i obwodu</w:t>
            </w:r>
          </w:p>
          <w:p w:rsidR="00986908" w:rsidRPr="007C2A5D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ysokość brył: 7,6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E63E41" w:rsidRDefault="00986908" w:rsidP="00E63E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mieszczone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są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kartonie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instrukcją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metodyczn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obrotowe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E238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Zestaw 6 brył geometrycznych, wykonanych z przeźroczystego tworzywa sztucznego z zaznaczonymi wysokościami, przekątnymi </w:t>
            </w:r>
          </w:p>
          <w:p w:rsidR="00986908" w:rsidRPr="007C2A5D" w:rsidRDefault="00986908" w:rsidP="00CE238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płaszczyznami przekroju.</w:t>
            </w:r>
          </w:p>
          <w:p w:rsidR="00986908" w:rsidRPr="007C2A5D" w:rsidRDefault="00986908" w:rsidP="00CE238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Wysokość brył: 17 cm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Waga zestawu: 1,35 kg</w:t>
            </w:r>
          </w:p>
          <w:p w:rsidR="00986908" w:rsidRPr="007C2A5D" w:rsidRDefault="00986908" w:rsidP="00CE238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skład brył obrotowych wchodzą:</w:t>
            </w:r>
          </w:p>
          <w:p w:rsidR="00986908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walec z zaznaczonymi przekątnymi </w:t>
            </w:r>
          </w:p>
          <w:p w:rsidR="00986908" w:rsidRPr="007C2A5D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i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wysokością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 z płaszczyznami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stożek z zaznaczonymi przekątnymi </w:t>
            </w:r>
          </w:p>
          <w:p w:rsidR="00986908" w:rsidRPr="007C2A5D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wysokością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 z płaszczyznami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kula z płaszczyznami, przekrojem </w:t>
            </w:r>
          </w:p>
          <w:p w:rsidR="00986908" w:rsidRPr="007C2A5D" w:rsidRDefault="00986908" w:rsidP="00CE23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promieniem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CE238B" w:rsidRDefault="00986908" w:rsidP="00664A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kula z przekątnymi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wpisane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E238B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E238B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Zestaw 6 brył geometrycznych </w:t>
            </w:r>
          </w:p>
          <w:p w:rsidR="00986908" w:rsidRDefault="00986908" w:rsidP="00CE23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38B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z wpisanymi figurami geometrycznymi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ostrosłup o podstawie czworokąta </w:t>
            </w:r>
          </w:p>
          <w:p w:rsidR="00986908" w:rsidRDefault="00986908" w:rsidP="00CE23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 wpisaną kulą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ostrosłup o podstawie trójkąta </w:t>
            </w:r>
          </w:p>
          <w:p w:rsidR="00986908" w:rsidRDefault="00986908" w:rsidP="00CE23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 wpisaną kulą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ostrosłup o podstawie sześciokąta </w:t>
            </w:r>
          </w:p>
          <w:p w:rsidR="00986908" w:rsidRDefault="00986908" w:rsidP="00CE23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 wpisaną kulą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graniastosłup o podstawie czworokąta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wpisanym ostrosłupem o podstawie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czworokąta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graniastosłup o podstawie sześciokąta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wpisanym ostrosłupem o podstawie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sześciokąta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graniastosłup o podstawie trójkąta </w:t>
            </w:r>
          </w:p>
          <w:p w:rsidR="00986908" w:rsidRPr="00CE238B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wpisanym ostrosłupem o podstawie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trójkąta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Wysokość brył: 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Geoblocks – 330 drewnianych graniastosłupów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składa się 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330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graniastosłupów czworokątnych 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i trójkątnych w 25 różnych kształtach. Wielkość klocków jest różna - najmniejszy sześcian ma bok o długości 1 cm, a największą bryłą jest prostopadło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ścian o wymiarze 4 x 4 x 8 cm.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Klocki wykonane są z solidnego, twardego drewna bukowego, co gw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arantuje trwałość produktu.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przestrzenne Geo – zestaw klasowy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9C63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zestawie znajdują się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elementy </w:t>
            </w:r>
          </w:p>
          <w:p w:rsidR="00986908" w:rsidRDefault="00986908" w:rsidP="009C63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formie siedmiu różnych figur geometrycznych o długości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boków 7 – 10 cm. Klocki łączą się ze sobą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na kliknięcie, a złączenie jest ruchome jak zaw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ias (kąt obrotu do 270 stopni).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Każdy klocek posiada otwór – z jednej strony ułatwia to składanie </w:t>
            </w:r>
          </w:p>
          <w:p w:rsidR="00986908" w:rsidRDefault="00986908" w:rsidP="009C63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i rozkładanie, a z drugiej dodatkowo podkreśla kształt figury. </w:t>
            </w:r>
          </w:p>
          <w:p w:rsidR="00986908" w:rsidRPr="007C2A5D" w:rsidRDefault="00986908" w:rsidP="009C63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Bezpieczne i trwałe.</w:t>
            </w:r>
          </w:p>
          <w:p w:rsidR="00986908" w:rsidRDefault="00986908" w:rsidP="009C63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Zawart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ość: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- 28 trójkątów równobocznych,</w:t>
            </w:r>
          </w:p>
          <w:p w:rsidR="00986908" w:rsidRDefault="00986908" w:rsidP="009C63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14 trójkątów prostokątnych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 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równoramiennych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 trójkątów równoramiennych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84 kwadraty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 prostokątów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 pięciokątów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 sześciokątów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09507A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zamykane pudełko.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ącznie 198 elementów w 4 kolorach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Ostrosłupy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graniastosłupy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A93C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 skład zestawu wchodzą:</w:t>
            </w:r>
          </w:p>
          <w:p w:rsidR="00986908" w:rsidRPr="00A93C70" w:rsidRDefault="00986908" w:rsidP="00A93C7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A93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ostrosłup o podstawie trójkąta</w:t>
            </w:r>
          </w:p>
          <w:p w:rsidR="00986908" w:rsidRPr="007C2A5D" w:rsidRDefault="00986908" w:rsidP="00A93C7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ostrosłup o podstawie kwadratu</w:t>
            </w:r>
          </w:p>
          <w:p w:rsidR="00986908" w:rsidRPr="007C2A5D" w:rsidRDefault="00986908" w:rsidP="00A93C7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ostrosłup o podstawie sześciokąta</w:t>
            </w:r>
          </w:p>
          <w:p w:rsidR="00986908" w:rsidRPr="007C2A5D" w:rsidRDefault="00986908" w:rsidP="00A93C7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graniastosłup o podstawie trójkąta</w:t>
            </w:r>
          </w:p>
          <w:p w:rsidR="00986908" w:rsidRPr="007C2A5D" w:rsidRDefault="00986908" w:rsidP="00A93C7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graniastosłup o podstawie kwadratu</w:t>
            </w:r>
          </w:p>
          <w:p w:rsidR="00986908" w:rsidRPr="007C2A5D" w:rsidRDefault="00986908" w:rsidP="00A93C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graniastosłup o podstawie sześciokąta</w:t>
            </w:r>
          </w:p>
          <w:p w:rsidR="00986908" w:rsidRPr="00A93C70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Wysokość brył ~ 20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Przyrząd do demonstracji  powst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awania brył obrotowych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A93C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Zestaw do demonstracji powstawania brył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. W bryłach umieszczone są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zerwone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elementy, które</w:t>
            </w:r>
          </w:p>
          <w:p w:rsidR="00986908" w:rsidRPr="007C2A5D" w:rsidRDefault="00986908" w:rsidP="00A93C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omagają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dostrzec płaszczyznę lub wysokość modelu.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Napęd - elektryczny.</w:t>
            </w:r>
          </w:p>
          <w:p w:rsidR="00986908" w:rsidRPr="00A93C70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Zestaw składa się z 4 brył /stożka, koła, owalu i stożka ściętego/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podstawy.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Składane bryły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 siatkami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przedmioty </w:t>
            </w:r>
          </w:p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otoczenia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F254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Zawartość: 8 brył z przezroczystego tworzywa z ruchomymi podstawa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 (wys. 8 cm),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24 siatki z giętkiego tworz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ywa z nadrukiem fotograficznym (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 złożenia i umieszcze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nia wewnątrz brył),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instrukcja.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Siat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są kolorowe, zostały zadrukowane tak, aby po złożeniu otrzymać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model przedmiotu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: puszkę, klocek, choinkę,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namiot itp.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Siatki wykonane są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 giętkiego tworzywa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mogą posłużyć jako szablon.</w:t>
            </w:r>
          </w:p>
          <w:p w:rsidR="00986908" w:rsidRPr="001A0E4E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 skład wchodzą następujące</w:t>
            </w:r>
            <w:r w:rsidRPr="001A0E4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brył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y: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sześcian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prostopadłościan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trójkątny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sześciokątny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Pr="007C2A5D" w:rsidRDefault="00986908" w:rsidP="001A0E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czworościan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1A0E4E" w:rsidRDefault="00986908" w:rsidP="004508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ostrosłup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 podstawie kwadratu.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306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0120F1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120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Wielkie bryły transparentne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Pr="000120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skład zestawu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wchodzą</w:t>
            </w:r>
            <w:r w:rsidRPr="000120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kula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półkula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sześcian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prostopadłościan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trójkątny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graniastosłup sześciokątny </w:t>
            </w:r>
          </w:p>
          <w:p w:rsidR="00986908" w:rsidRPr="000120F1" w:rsidRDefault="00986908" w:rsidP="000120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czworościan</w:t>
            </w:r>
          </w:p>
          <w:p w:rsidR="00986908" w:rsidRDefault="00986908" w:rsidP="000120F1">
            <w:pPr>
              <w:spacing w:after="0" w:line="240" w:lineRule="auto"/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ostrosłup o podstawie kwadratu</w:t>
            </w:r>
          </w:p>
          <w:p w:rsidR="00986908" w:rsidRDefault="00986908" w:rsidP="006C20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P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odstawy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są ruchome, przeźroczyste </w:t>
            </w:r>
          </w:p>
          <w:p w:rsidR="00986908" w:rsidRPr="000120F1" w:rsidRDefault="00986908" w:rsidP="00693F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 akcentem kolorystycznym.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Bryły wykonane są z trwałego </w:t>
            </w:r>
          </w:p>
          <w:p w:rsidR="00986908" w:rsidRDefault="00986908" w:rsidP="00693F0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estetycznego tworzywa.</w:t>
            </w:r>
          </w:p>
          <w:p w:rsidR="00986908" w:rsidRPr="00693F0C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Wysokość brył wynosi około 15 cm.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Domino arytmetyczne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dzielenie bez reszty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886480" w:rsidRDefault="00986908" w:rsidP="008864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8648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Zawartość:</w:t>
            </w:r>
          </w:p>
          <w:p w:rsidR="00986908" w:rsidRPr="007C2A5D" w:rsidRDefault="00986908" w:rsidP="008864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- 10 układanek po 15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afelków każda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(wymiar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afelka 6 x 4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),</w:t>
            </w:r>
          </w:p>
          <w:p w:rsidR="00986908" w:rsidRPr="007C2A5D" w:rsidRDefault="00986908" w:rsidP="008864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drewniane pudełko</w:t>
            </w:r>
          </w:p>
          <w:p w:rsidR="00986908" w:rsidRPr="00B65497" w:rsidRDefault="00986908" w:rsidP="00886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Seria układanek na zas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adzie domina, która wyróżnia się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starannym konceptem matematycznym, a także estetyką i trwałością.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Wszystkie elementy domina wykonane są z mocnego tworzywa.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Komplet 6 pojemników do badania ob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jętości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0B42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Pojemniki wykonane są </w:t>
            </w:r>
          </w:p>
          <w:p w:rsidR="00986908" w:rsidRDefault="00986908" w:rsidP="000B42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przeźroczystego tworzywa sztucznego.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Pojemniki mają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podziałki zarówno amerykańskie jak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i wag metrycznych (centymetrów sześciennych i liter) dla porównania. Zestaw 6 pojemników obejmuje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6908" w:rsidRPr="000B4277" w:rsidRDefault="00986908" w:rsidP="000B42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3 cylindry, 2 kostki i 1 półkulę. Cztery pojemniki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siadają pojemności 1 litra, a pozostałe 0,5 litra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Koło do odmierzania  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dległości </w:t>
            </w:r>
          </w:p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licznikiem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rzyrząd do odmierzania długich odleg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łości. Koło zaopatrzone w gumową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oponę, która gwarantuj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 dokładność pomiaru. Uchwyt koł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jest regulowany 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i można go dopasować do wzrostu uc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znia lub nauczyciela. Wygodna rą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czka zapewnia komfort mierzeni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nawet na dużej odległości. Koł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o wydaje charakterysty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czne kliknię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cie po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przekroczeniu każdego metra, stąd też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zliczenie kliknięć daje wynik pomiaru. Wbudowany licznik daje pomiar równoległy, dający pewność wyniku mierzenia.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47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Menzurki pomiarowe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skład wchodzi 7 menzurek o poj.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10 ml, 25 ml, 50 ml, 100 ml, 250 ml, </w:t>
            </w:r>
          </w:p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500 ml i 1000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B65497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enzurki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ykonane są z trwałego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Metr sześcienny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komplet podstawowy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Zawartość: 12 mocnych profili </w:t>
            </w:r>
          </w:p>
          <w:p w:rsidR="00986908" w:rsidRDefault="00986908" w:rsidP="00C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tworzywa (długość 1 m) - 8 łączników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C04FC4" w:rsidRDefault="00986908" w:rsidP="00664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Zestaw dydaktyczny pozwala obrazowo zademonstrować pojęcie jednego metra sześciennego lub metra kwadratowego. Profile łączy się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 pomocą łączników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zyskując stabilną konstrukcję.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664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Sześcian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 o różnej  ciężkości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0B12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skład zestawu wchodzą s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ześciany </w:t>
            </w:r>
          </w:p>
          <w:p w:rsidR="00986908" w:rsidRDefault="00986908" w:rsidP="000B12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tworzywa (waga 23 g)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które wypełnione są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: żwir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(175 g), pumeks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(60 g), pióra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 (4 g), wełną (6 g), drewnem balsa (12 g), drewnem świerkowym (55 g), gąbką (3 g), tworzywem sztucznym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(165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g), aluminium (320 g), żelazem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(965 g).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Pr="00B65497" w:rsidRDefault="00986908" w:rsidP="000B1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zestawie znajduje się także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9 pustych sześcianów (bok 5 cm) oraz dwie zlewki pomiarowe (50 ml i 100 ml).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Zestaw zapakowany jest w drewnianym pudełku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306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sprężynowa – 25 kg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450B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aga z metalowym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korpusem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dwo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ma hakami ze stali nierdzewnej służących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jej zawieszenia oraz ważonych  przedmiotów (o wadze do 25 kg)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450B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Jej działanie opiera się na zjawisku wydłużenia sprężyny, które jest wprost proporcjonalne do przyłożonej siły. Waga sprężynowa waży ciężar ciała, </w:t>
            </w:r>
          </w:p>
          <w:p w:rsidR="00986908" w:rsidRPr="007C2A5D" w:rsidRDefault="00986908" w:rsidP="00450B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 nie jego masę. Zakres pomiarowy oraz dokładność pomiaru wagi sprężynowej zależą od charakterystyki sprężynki.</w:t>
            </w:r>
          </w:p>
          <w:p w:rsidR="00986908" w:rsidRPr="00B65497" w:rsidRDefault="00986908" w:rsidP="006D6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Średnica wagi 15 cm.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9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664A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2F2BA2" w:rsidRDefault="00986908" w:rsidP="00664AE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57B7" w:rsidRDefault="00EB57B7" w:rsidP="00C355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0B7" w:rsidRDefault="00BF40B7" w:rsidP="00C355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960" w:rsidRDefault="00045960" w:rsidP="000459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5960" w:rsidRDefault="00045960" w:rsidP="00045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Wyposażenie pracowni matematycznej w SP w Manasterzu</w:t>
      </w:r>
    </w:p>
    <w:p w:rsidR="00045960" w:rsidRDefault="00045960" w:rsidP="00045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22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1880"/>
        <w:gridCol w:w="3802"/>
        <w:gridCol w:w="1173"/>
        <w:gridCol w:w="1112"/>
        <w:gridCol w:w="1035"/>
        <w:gridCol w:w="1134"/>
        <w:gridCol w:w="1417"/>
      </w:tblGrid>
      <w:tr w:rsidR="00986908" w:rsidTr="00986908">
        <w:trPr>
          <w:trHeight w:val="549"/>
          <w:jc w:val="center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GŁÓWNYCH PARAMETRÓW TECHNICZNYCH</w:t>
            </w:r>
          </w:p>
        </w:tc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WARTOSĆ JEDNOSTKOWA (zł)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986908" w:rsidTr="00986908">
        <w:trPr>
          <w:trHeight w:val="312"/>
          <w:jc w:val="center"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908" w:rsidTr="00986908">
        <w:trPr>
          <w:trHeight w:val="946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– tabliczka mnożenia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jej skład wchodzi: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dwustronnych plansz z działaniami (22 x 27 cm), 200 kartoników z wynikami (4,5 x 4,5 cm), pudełko z przegródkami oraz instrukcja.</w:t>
            </w:r>
          </w:p>
          <w:p w:rsidR="00986908" w:rsidRPr="00463C33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Plansze i kartoniki wykonane są z grubego kartonu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47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463C33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Błyskawiczna tabliczka mnożenia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6908" w:rsidRPr="00463C33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skład wchodzi: 4 drewniane stojaki z ruchomymi klapkami (wym. 26 x 6 x 6 cm), 4 drewniane kostki o boku 2,5 cm oraz instrukcja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1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463C33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Abaco – tabliczka mnożenia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Trwała tabliczka wykonana z mocnego tworzywa o wymiarach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: 22 x 22 x 2 cm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Liczydło kulkowe zawiera wszystkie działania 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mnożenie liczb w zakresie 100.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ułamkowe magnetyczne – 20 elementów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E35992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przedstawia całość oraz ułamki 1/2, 1/3 i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/4 w magnetycznej formie kul i sześcianów. Bryły wykonane są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estetyc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znego, wytrzymałego tworzywa.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Zawartość: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brył magnetycznych: 4 kule o średnicy 7,6 cm,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sześciany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 boku 7,6 cm,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pudełko i podstawa do przechowywania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obliczanie kątów (4 komplety)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Kostki domina wykonane są z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grubego tworzywa o zaokrąglonych rogach.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stanowi 4 komplety, po 24 kostki domina każdy. Wymiar kostki 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x 8 cm. Umieszczone w twardym, kartonowym pudełku.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EDUSENSUS MATEMATYKA – pakiet 5 programów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 składa się z 5 programów. Pakiet w wersji sieciowej na 10 stanowisk.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 się z następujących części: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 Działania na liczbach 1-20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 Działania na liczbach do 100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część 3 Działania na liczbach do 1000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 Działania na liczbach wielocyfrowych. Ułamki dziesiętne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 Działania na liczbach wielocyfrowych. Ułamki, procenty, czas, miary i wagi.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Lekcjoteka kl. IV-VI - matematyka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Lekcjoteka – program służący do prowadzenia lekcji z tablicą interaktywną lub rzutnikiem.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możliwością zainstalowania jednej płyty na sześciu stanowiskach. Lekcjoteka zawiera: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- 36 zagadnień ze scenariuszami lekcji w formie drukowanej i elektronicznej (pliki PDF),</w:t>
            </w:r>
          </w:p>
          <w:p w:rsidR="00986908" w:rsidRPr="007C2A5D" w:rsidRDefault="00986908" w:rsidP="00C83CF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- 115 animacji,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symulacji i ilustracji,</w:t>
            </w:r>
          </w:p>
          <w:p w:rsidR="00986908" w:rsidRPr="007C2A5D" w:rsidRDefault="00986908" w:rsidP="00C83CF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ok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70 interaktywnych ćwiczeń, prezentacji, gier i filmów,</w:t>
            </w:r>
          </w:p>
          <w:p w:rsidR="00986908" w:rsidRPr="00C15509" w:rsidRDefault="00986908" w:rsidP="00C83CF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filmy instruktażowe, dotyczące  m.in. obsługi tablicy interaktywnej oraz pracy z programem.</w:t>
            </w:r>
            <w:r w:rsidRPr="00C15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Ułamki  - modularne kart spiralne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do demonstracji części ułamkowych koła i różnych ich zapisów: ułamek zwykły, ułamek dziesiętny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ułamek procentowy. Pomoc składa się ze sczepialnych modułów, na których znajdują się spiralne karty demonstracyjne. Zawartość: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 moduły o boku 15,2 cm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instrukcja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Ułamkowe listwy 24 + 1 magnetyczne szerokie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zawiera: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- 1 komplet ułamkowych listew magnetycznych do demonstracji ćwiczeń na tablicy,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- 24 komplety listew ułamkowych do indywidualnych ćwiczeń uczniowskich.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B61E36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Ułamkowe listwy 24 + 1 magnetyczne wąskie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Zestaw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1 komplet wąskich ułamkowych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w magnetycznych do demonstr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acji ćwiczeń na tablicy,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24 komplety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w ułamkowych do indywidualnych ćwiczeń uczniowskich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Obrazkowa matematyka – liczmany, cyfry, znaki magnetyczne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Zawartość: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140 liczmanów (14 wzorów po 10 sztuk każdy: jabłka, gruszki, banany, krowy, konie, psy, koty, balony, samochody, rowery, statki, samoloty, dziewczynki i chłopcy)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- 42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afelki z liczbami 0-20 (po 2 sztuki) - 14 kafelków ze znakami: +, -, x, :, =, &lt;, &gt; (po 2 sztuki)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 kafelków 5,3 x 5,3 cm.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ymiar obrazków ok. 13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543DF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lementy wykonane z laminowanego PC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V podklejonego folią magnetyczną.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6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Tęczowe matematyczne walce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podstawie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Zawartość: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 drewniana solidna tablica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wgłębieniami w układzie 10 x 10 (wym. 45 x 45 x 2 cm)</w:t>
            </w:r>
          </w:p>
          <w:p w:rsidR="00986908" w:rsidRPr="00BF02AB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100 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lców w 10 kolorach (najniższy o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wys. 1 cm, najwyższy o wys. 10 cm)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zegarowa z systemem kół zębatych – zestaw klasowy 24+1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Zawartość: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 demonstracy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jna tarcza zegarowa o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średnicy 34,3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24 tarcze ćwiczeniowe o średnicy 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10,2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Tarcze mają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wbudowany system kół zębatych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wykonane są z estetycznego i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trwałego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 Posiadają dwa kolory wskazówek, które są zgodne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podziałką 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rczy na godziny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minuty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8F7E09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Tarcze służą do odczytu oraz mierzenia czasu.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Kąty w bryłach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Zawiera ona osiem kompletów,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których każdy przeznaczony jest do jednej 3-4 osobowej grupy. Zestawy ró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żnią się między sobą kolorami i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oznaczeniami literowo - liczbowymi.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Pojedynczy komplet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kłada się z 25-ciu kartoników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rysunkami rzutów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noległych brył przestrzennych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zaznaczonymi kątami. Kartoniki te ozna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czone są symbolami literowymi w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dolnym prawym rogu. Każdemu kartonikowi z rysunkiem odpowiada drugi, na którym umieszczona jest pra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widłowa nazwa kąta. Kartoniki z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nazwami kątów oznaczone są symbolami liczbowymi.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 – plansze drukowane z płytą CD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lansze dydaktyczne opracowane w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oparciu o podstawę programowa nauczania matematyki w klasach IV-VI szkoły podstawowej.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Zawiera 60 kolorowych plansz formatu A3 oraz płytę CD. Płyta zawiera wszystkie plansze w wersji graficznej,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 także dodatkowo 60 ilustrowanych kart pracy do wydruku.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Spis plansz: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1. Dziesiątkowy system pozycyjny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2. Rzymski system zapisu liczb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3. Liczby naturalne na osi liczbowej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4. Dodawanie i odejmowanie liczb naturalnych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5. Mnożenie liczb naturalnych- własności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6. Kolejność wykonywania działań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7. Potęgowanie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8. Podzielność liczb naturalnych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9. Ułamki zwykle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10. Ułamki zwykle na osi liczbowej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11. Rozszerzanie i skracanie ułamków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12. Porównywanie ułamków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13. Dodawanie i odejmowanie ułamków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14. Ułamki niewłaściwe i liczby mieszane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15. Ułamki dziesiętne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16.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równywanie ułamków dziesiętnych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oś liczbowa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17. Wyrażenia algebraiczne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18. Wartość liczbowa wyrażeń algebraicznych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19. Liczby ujemne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20. Liczby ujemne na osi liczbowej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21. Procenty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22. Obliczenia procentowe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23. Prostokątny układ współrzędnych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24. Przyporządkowania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25. Diagram obrazkowy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26. Diagram słupkowy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27. Diagram prostokątny i kołowy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28. Skala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29. Plan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30. Czas i kalendarz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31. Podstawowe figury geometryczne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32.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Prosta, półprosta, odcinek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33. 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amana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34. Długość odcinka. Jednostki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długości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35. Rodzaje ką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36. Katy przylegle, wierzchołkowe, odpowiadające i naprzemi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anlegle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37. Prostokąt i kwadrat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własności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38. Pole prostokąta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 Jednostki pola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39. Okrąg i koło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40. Kąty w kole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41. Trójkąt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własności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42. Katy w trójkącie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43. Klasyfikacja trójkątów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44. Równoległobok i romb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45. Trapez i deltoid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46. Podział czworokątów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47. Pole trójkąta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48. Pole równoległoboku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49. Pole rombu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50. Pole trapezu i del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toidu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51. Symetria osiowa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52. Oś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symetrii figury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53. Prostopadłościan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54. Siatki prostopadłoś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cianu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55. Objętość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jednostki objętości,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56. Pole powierzchni prostopadłościanu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57. Objętość  prostopadłościanu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58. Graniastosłup prosty, siatki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59. Pole powierzchni i objętość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graniastosłupa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60. Ostrosłup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Mozaika wielokątów – magnetyczna do demonstracji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A349A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47 elementów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kolorowej folii magnetycznej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w formie s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ześciokąt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wym. 15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 i własności wielokątów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Zawartość: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- 52 elementów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tworzywa (do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podklejenia magnetyczna folia),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ażdy komplet zapakowany w osobny worek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amykana walizka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szczegółowa instrukcja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Intencją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poszczególnych kompletów jest wyprowadzanie wzorów na pole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 figur, aby uczniowie znali nie tylko samą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formułkę, lecz potrafili wyprowadzić te wzory w odniesieniu do wzoru podstawowego, jakim jest wzór na pole prostokąta.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wadraty decymalne z podziałką 1 cm</w:t>
            </w:r>
            <w:r w:rsidRPr="00583C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miarki umożliwiają wprowadzanie jednostek miary pola.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47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Wielokąty – zestaw klasowy, 15 kształtów – 450 sztuk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estaw 15 różnych związanych ze sobą kształtów opisanych literami.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komplecie 450 figur wykonanych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wysokiej jakości, przezroczystego tworzywa w 6 kolorach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5133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Zawartość: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450 wielokątów w 15 kształtach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umieszczonych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przeźroczystym wiaderku </w:t>
            </w:r>
          </w:p>
          <w:p w:rsidR="00986908" w:rsidRPr="00D51333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przykrywką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instrukcją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metodyczn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Bryły 10 cm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wyznaczonymi płaszczyznami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Komplet brył  z dodatkowymi podstawami i płytkami. Płytki można mocować w podstawach brył tak, aby wyznaczać różne płaszczyzny w ich wnętrzu. Przeźroczystość  brył umożliwia obserwacje wyznaczonych płaszczyzn z różnych stron.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Zawartość: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 brył z przezro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czystego tworzywa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(wys. 10 cm),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- 5 podstaw z wypustkami,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ytki do wyznaczania płaszczyzn. 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szystkie elementy wykonane </w:t>
            </w:r>
          </w:p>
          <w:p w:rsidR="00986908" w:rsidRPr="003F579B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mocnego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Bryły 15 cm przeźroczyste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podstawami – 10 brył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Zestaw zawiera 10 wysokich brył wykonanych z przezr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oczystego zielonkawego tworzywa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, które posiadają kolorowe ruchome podstawy.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Do brył można nasypać kaszy lub nalać wody, gdyż podstawy można wyjąć. Stosunek podstawy do wysokości wynosi zawsze 1:2. </w:t>
            </w:r>
          </w:p>
          <w:p w:rsidR="00986908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Zawartość: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 brył o wys. 15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3F579B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Zostały 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ykonane z mocnego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geometryczne składane – 8 brył, 8 siatek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Zawartość: 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a)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8 brył przeźroczystych z ruchomą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  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podstawą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b)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 kolorowych siatek do składania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Siatkę po złożeniu można umieścić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środku bryły,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którą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widać poprzez prze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źroczyste ściany brył.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Bryły można napełniać wodą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mater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iałem sypkim w celu porównania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objętości figur.</w:t>
            </w:r>
          </w:p>
          <w:p w:rsidR="00986908" w:rsidRPr="00E63E4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63E4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Spis brył: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3.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sześcian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4.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prostopadłościan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5.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trójkątny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6.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graniastosłup sześciokątny 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7.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czworościan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8. ostrosłup o podstawie kwadratu.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Bryły 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siatki wykonane są z trwałego i 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estetycznego tworzywa.</w:t>
            </w:r>
          </w:p>
          <w:p w:rsidR="00986908" w:rsidRPr="00E63E4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63E4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Zastosowanie: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składanie i rozkładanie brył,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tworzenie siatek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obliczanie powierzchni brył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mierzenie objętości i obwodu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ysokość brył: 7,6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E63E4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mieszczone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są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kartonie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instrukcją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metodyczn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obrotowe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Zestaw 6 brył geometrycznych, wykonanych z przeźroczystego tworzywa sztucznego z zaznaczonymi wysokościami, przekątnymi 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płaszczyznami przekroju.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Wysokość brył: 17 cm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Waga zestawu: 1,35 kg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skład brył obrotowych wchodzą:</w:t>
            </w:r>
          </w:p>
          <w:p w:rsidR="00986908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walec z zaznaczonymi przekątnymi </w:t>
            </w:r>
          </w:p>
          <w:p w:rsidR="00986908" w:rsidRPr="007C2A5D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i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wysokością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 z płaszczyznami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stożek z zaznaczonymi przekątnymi </w:t>
            </w:r>
          </w:p>
          <w:p w:rsidR="00986908" w:rsidRPr="007C2A5D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wysokością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 z płaszczyznami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kula z płaszczyznami, przekrojem </w:t>
            </w:r>
          </w:p>
          <w:p w:rsidR="00986908" w:rsidRPr="007C2A5D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promieniem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CE238B" w:rsidRDefault="00986908" w:rsidP="00C83CF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kula z przekątnymi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Bryły wpisane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E238B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Zestaw 6 brył geometrycznych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38B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z wpisanymi figurami geometrycznymi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ostrosłup o podstawie czworokąta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 wpisaną kulą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ostrosłup o podstawie trójkąta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 wpisaną kulą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ostrosłup o podstawie sześciokąta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z wpisaną kulą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graniastosłup o podstawie czworokąta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wpisanym ostrosłupem o podstawie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czworokąta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graniastosłup o podstawie sześciokąta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wpisanym ostrosłupem o podstawie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sześciokąta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graniastosłup o podstawie trójkąta </w:t>
            </w:r>
          </w:p>
          <w:p w:rsidR="00986908" w:rsidRPr="00CE238B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wpisanym ostrosłupem o podstawie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trójkąta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Wysokość brył: 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Geoblocks – 330 drewnianych graniastosłupów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składa się 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330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graniastosłupów czworokątnych 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i trójkątnych w 25 różnych kształtach. Wielkość klocków jest różna - najmniejszy sześcian ma bok o długości 1 cm, a największą bryłą jest prostopadło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ścian o wymiarze 4 x 4 x 8 cm.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Klocki wykonane są z solidnego, twardego drewna bukowego, co gw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arantuje trwałość produktu.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Klocki przestrzenne Geo – zestaw klasowy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zestawie znajdują się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elementy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 formie siedmiu różnych figur geometrycznych o długości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boków 7 – 10 cm. Klocki łączą się ze sobą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na kliknięcie, a złączenie jest ruchome jak zaw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ias (kąt obrotu do 270 stopni).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Każdy klocek posiada otwór – z jednej strony ułatwia to składanie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i rozkładanie, a z drugiej dodatkowo podkreśla kształt figury. 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Bezpieczne i trwałe.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Zawart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ość: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- 28 trójkątów równobocznych,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14 trójkątów prostokątnych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  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równoramiennych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 trójkątów równoramiennych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84 kwadraty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 prostokątów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 pięciokątów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 sześciokątów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09507A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zamykane pudełko.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>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ącznie 198 elementów w 4 kolorach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Ostrosłupy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graniastosłupy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 skład zestawu wchodzą:</w:t>
            </w:r>
          </w:p>
          <w:p w:rsidR="00986908" w:rsidRPr="00A93C70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A93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ostrosłup o podstawie trójkąta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ostrosłup o podstawie kwadratu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ostrosłup o podstawie sześciokąta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graniastosłup o podstawie trójkąta</w:t>
            </w:r>
          </w:p>
          <w:p w:rsidR="00986908" w:rsidRPr="007C2A5D" w:rsidRDefault="00986908" w:rsidP="00C83CF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graniastosłup o podstawie kwadratu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graniastosłup o podstawie sześciokąta</w:t>
            </w:r>
          </w:p>
          <w:p w:rsidR="00986908" w:rsidRPr="00A93C70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Wysokość brył ~ 20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Przyrząd do demonstracji  powst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awania brył obrotowych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Zestaw do demonstracji powstawania brył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. W bryłach umieszczone są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zerwone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elementy, które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omagają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dostrzec płaszczyznę lub wysokość modelu.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Napęd - elektryczny.</w:t>
            </w:r>
          </w:p>
          <w:p w:rsidR="00986908" w:rsidRPr="00A93C70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Zestaw składa się z 4 brył /stożka, koła, owalu i stożka ściętego/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podstawy.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Składane bryły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 siatkami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przedmioty </w:t>
            </w:r>
          </w:p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otoczenia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Zawartość: 8 brył z przezroczystego tworzywa z ruchomymi podstawa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 (wys. 8 cm),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24 siatki z giętkiego tworz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ywa z nadrukiem fotograficznym (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 złożenia i umieszcze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nia wewnątrz brył),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instrukcja.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Siat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są kolorowe, zostały zadrukowane tak, aby po złożeniu otrzymać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model przedmiotu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: puszkę, klocek, choinkę,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namiot itp.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Siatki wykonane są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 giętkiego tworzywa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mogą posłużyć jako szablon.</w:t>
            </w:r>
          </w:p>
          <w:p w:rsidR="00986908" w:rsidRPr="001A0E4E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 skład wchodzą następujące</w:t>
            </w:r>
            <w:r w:rsidRPr="001A0E4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brył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y: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sześcian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prostopadłościan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trójkątny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sześciokątny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czworościan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986908" w:rsidRPr="001A0E4E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ostrosłup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 podstawie kwadratu.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306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120F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Wielkie bryły transparentne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Pr="000120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skład zestawu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wchodzą</w:t>
            </w:r>
            <w:r w:rsidRPr="000120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kula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półkula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walec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stożek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sześcian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prostopadłościan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graniastosłup trójkątny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graniastosłup sześciokątny 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czworościan</w:t>
            </w:r>
          </w:p>
          <w:p w:rsidR="00986908" w:rsidRDefault="00986908" w:rsidP="00C83CFA">
            <w:pPr>
              <w:spacing w:after="0" w:line="240" w:lineRule="auto"/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ostrosłup o podstawie kwadratu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odstawy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są ruchome, przeźroczyste </w:t>
            </w:r>
          </w:p>
          <w:p w:rsidR="00986908" w:rsidRPr="000120F1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 akcentem kolorystycznym. </w:t>
            </w: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Bryły wykonane są z trwałego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 estetycznego tworzywa.</w:t>
            </w:r>
          </w:p>
          <w:p w:rsidR="00986908" w:rsidRPr="00693F0C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120F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Wysokość brył wynosi około 15 cm.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Domino arytmetyczne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dzielenie bez reszty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886480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8648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Zawartość: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- 10 układanek po 15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afelków każda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(wymiar k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afelka 6 x 4 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),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drewniane pudełko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Seria układanek na zas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adzie domina, która wyróżnia się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starannym konceptem matematycznym, a także estetyką i trwałością.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Wszystkie elementy domina wykonane są z mocnego tworzywa.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Komplet 6 pojemników do badania ob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jętości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Pojemniki wykonane są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przeźroczystego tworzywa sztucznego.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Pojemniki mają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podziałki zarówno amerykańskie jak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i wag metrycznych (centymetrów sześciennych i liter) dla porównania. Zestaw 6 pojemników obejmuje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6908" w:rsidRPr="000B4277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3 cylindry, 2 kostki i 1 półkulę. Cztery pojemniki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siadają pojemności 1 litra, a pozostałe 0,5 litra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Koło do odmierzania  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dległości </w:t>
            </w:r>
          </w:p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licznikiem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rzyrząd do odmierzania długich odleg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łości. Koło zaopatrzone w gumową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oponę, która gwarantuj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 dokładność pomiaru. Uchwyt koł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jest regulowany 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i można go dopasować do wzrostu uc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znia lub nauczyciela. Wygodna rą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czka zapewnia komfort mierzeni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nawet na dużej odległości. Koł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>o wydaje charakterysty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czne kliknię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cie po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przekroczeniu każdego metra, stąd też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zliczenie kliknięć daje wynik pomiaru. Wbudowany licznik daje pomiar równoległy, dający pewność wyniku mierzenia.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447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Menzurki pomiarowe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skład wchodzi 7 menzurek o poj.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10 ml, 25 ml, 50 ml, 100 ml, 250 ml,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500 ml i 1000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enzurki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ykonane są z trwałego tworzywa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Metr sześcienny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komplet podstawowy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Zawartość: 12 mocnych profili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tworzywa (długość 1 m) - 8 łączników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Pr="00C04FC4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Zestaw dydaktyczny pozwala obrazowo zademonstrować pojęcie jednego metra sześciennego lub metra kwadratowego. Profile łączy się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 pomocą łączników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zyskując stabilną konstrukcję.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851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651A98" w:rsidRDefault="00986908" w:rsidP="00C83C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1A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Sześcian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 o różnej  ciężkości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skład zestawu wchodzą s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ześciany 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tworzywa (waga 23 g)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, które wypełnione są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: żwir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(175 g), pumeks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(60 g), pióra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 (4 g), wełną (6 g), drewnem balsa (12 g), drewnem świerkowym (55 g), gąbką (3 g), tworzywem sztucznym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(165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g), aluminium (320 g), żelazem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(965 g).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 zestawie znajduje się także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9 pustych sześcianów (bok 5 cm) oraz dwie zlewki pomiarowe (50 ml i 100 ml).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Zestaw zapakowany jest w drewnianym pudełku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306"/>
          <w:jc w:val="center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sprężynowa – 25 kg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aga z metalowym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korpusem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 dwo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ma hakami ze stali nierdzewnej służących 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jej zawieszenia oraz ważonych  przedmiotów (o wadze do 25 kg)</w:t>
            </w: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Jej działanie opiera się na zjawisku wydłużenia sprężyny, które jest wprost proporcjonalne do przyłożonej siły. Waga sprężynowa waży ciężar ciała, </w:t>
            </w:r>
          </w:p>
          <w:p w:rsidR="00986908" w:rsidRPr="007C2A5D" w:rsidRDefault="00986908" w:rsidP="00C83C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C2A5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 nie jego masę. Zakres pomiarowy oraz dokładność pomiaru wagi sprężynowej zależą od charakterystyki sprężynki.</w:t>
            </w:r>
          </w:p>
          <w:p w:rsidR="00986908" w:rsidRPr="00B65497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Średnica wagi 15 cm.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08" w:rsidTr="00986908">
        <w:trPr>
          <w:trHeight w:val="259"/>
          <w:jc w:val="center"/>
        </w:trPr>
        <w:tc>
          <w:tcPr>
            <w:tcW w:w="9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6908" w:rsidRDefault="00986908" w:rsidP="00C83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908" w:rsidRPr="002F2BA2" w:rsidRDefault="00986908" w:rsidP="00C83CF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6908" w:rsidRDefault="00986908" w:rsidP="00C35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908" w:rsidRDefault="00986908" w:rsidP="00C35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908" w:rsidRDefault="00986908" w:rsidP="00C35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908" w:rsidRDefault="00986908" w:rsidP="00C35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908" w:rsidRDefault="00986908" w:rsidP="00C35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908" w:rsidRDefault="00986908" w:rsidP="00C355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55BC" w:rsidRPr="00986908" w:rsidRDefault="00986908" w:rsidP="00986908">
      <w:pPr>
        <w:tabs>
          <w:tab w:val="left" w:pos="12180"/>
        </w:tabs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ab/>
      </w:r>
    </w:p>
    <w:sectPr w:rsidR="00C355BC" w:rsidRPr="00986908" w:rsidSect="002061B2">
      <w:headerReference w:type="default" r:id="rId8"/>
      <w:footerReference w:type="default" r:id="rId9"/>
      <w:pgSz w:w="16838" w:h="11906" w:orient="landscape"/>
      <w:pgMar w:top="851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DC" w:rsidRDefault="00B976DC" w:rsidP="00C7721F">
      <w:pPr>
        <w:spacing w:after="0" w:line="240" w:lineRule="auto"/>
      </w:pPr>
      <w:r>
        <w:separator/>
      </w:r>
    </w:p>
  </w:endnote>
  <w:endnote w:type="continuationSeparator" w:id="0">
    <w:p w:rsidR="00B976DC" w:rsidRDefault="00B976DC" w:rsidP="00C7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7282"/>
      <w:docPartObj>
        <w:docPartGallery w:val="Page Numbers (Bottom of Page)"/>
        <w:docPartUnique/>
      </w:docPartObj>
    </w:sdtPr>
    <w:sdtEndPr/>
    <w:sdtContent>
      <w:p w:rsidR="00C83CFA" w:rsidRDefault="00C83C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7F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83CFA" w:rsidRDefault="00C83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DC" w:rsidRDefault="00B976DC" w:rsidP="00C7721F">
      <w:pPr>
        <w:spacing w:after="0" w:line="240" w:lineRule="auto"/>
      </w:pPr>
      <w:r>
        <w:separator/>
      </w:r>
    </w:p>
  </w:footnote>
  <w:footnote w:type="continuationSeparator" w:id="0">
    <w:p w:rsidR="00B976DC" w:rsidRDefault="00B976DC" w:rsidP="00C7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FA" w:rsidRDefault="00C83CFA" w:rsidP="00C77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EE2"/>
    <w:multiLevelType w:val="multilevel"/>
    <w:tmpl w:val="13B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E36F3"/>
    <w:multiLevelType w:val="hybridMultilevel"/>
    <w:tmpl w:val="7414AA94"/>
    <w:lvl w:ilvl="0" w:tplc="96C6B4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5C78F8"/>
    <w:multiLevelType w:val="multilevel"/>
    <w:tmpl w:val="498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D1A"/>
    <w:multiLevelType w:val="multilevel"/>
    <w:tmpl w:val="967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4511E"/>
    <w:multiLevelType w:val="multilevel"/>
    <w:tmpl w:val="40A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E43EC"/>
    <w:multiLevelType w:val="multilevel"/>
    <w:tmpl w:val="FF2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B48F0"/>
    <w:multiLevelType w:val="hybridMultilevel"/>
    <w:tmpl w:val="A5DC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2671"/>
    <w:multiLevelType w:val="hybridMultilevel"/>
    <w:tmpl w:val="0BE83EFE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9"/>
    <w:rsid w:val="000120F1"/>
    <w:rsid w:val="00034761"/>
    <w:rsid w:val="00045960"/>
    <w:rsid w:val="000641B7"/>
    <w:rsid w:val="00065FB0"/>
    <w:rsid w:val="00066429"/>
    <w:rsid w:val="00081CE8"/>
    <w:rsid w:val="0009507A"/>
    <w:rsid w:val="000B1279"/>
    <w:rsid w:val="000B4277"/>
    <w:rsid w:val="000E5AD3"/>
    <w:rsid w:val="000E6454"/>
    <w:rsid w:val="000F6E26"/>
    <w:rsid w:val="00102CF5"/>
    <w:rsid w:val="001427ED"/>
    <w:rsid w:val="00167890"/>
    <w:rsid w:val="001A0E4E"/>
    <w:rsid w:val="001A507F"/>
    <w:rsid w:val="001C009F"/>
    <w:rsid w:val="001C5338"/>
    <w:rsid w:val="001D20F9"/>
    <w:rsid w:val="001E2C05"/>
    <w:rsid w:val="00201813"/>
    <w:rsid w:val="00201E8A"/>
    <w:rsid w:val="00203589"/>
    <w:rsid w:val="002061B2"/>
    <w:rsid w:val="00223ADF"/>
    <w:rsid w:val="00234390"/>
    <w:rsid w:val="00261435"/>
    <w:rsid w:val="0026281E"/>
    <w:rsid w:val="002648B7"/>
    <w:rsid w:val="00265BA2"/>
    <w:rsid w:val="00277B97"/>
    <w:rsid w:val="00294E6E"/>
    <w:rsid w:val="002A74C9"/>
    <w:rsid w:val="002B3406"/>
    <w:rsid w:val="002D1D0F"/>
    <w:rsid w:val="002D4DF8"/>
    <w:rsid w:val="002F2BA2"/>
    <w:rsid w:val="003236A3"/>
    <w:rsid w:val="003461D5"/>
    <w:rsid w:val="0036133D"/>
    <w:rsid w:val="00361F62"/>
    <w:rsid w:val="003746D3"/>
    <w:rsid w:val="00375C67"/>
    <w:rsid w:val="00386DB1"/>
    <w:rsid w:val="003A4B42"/>
    <w:rsid w:val="003C050B"/>
    <w:rsid w:val="003D56CB"/>
    <w:rsid w:val="003E6F4C"/>
    <w:rsid w:val="003F0007"/>
    <w:rsid w:val="003F27ED"/>
    <w:rsid w:val="003F330F"/>
    <w:rsid w:val="003F579B"/>
    <w:rsid w:val="00403E8D"/>
    <w:rsid w:val="00407218"/>
    <w:rsid w:val="00420C76"/>
    <w:rsid w:val="00437361"/>
    <w:rsid w:val="00437A1A"/>
    <w:rsid w:val="00446C70"/>
    <w:rsid w:val="00450895"/>
    <w:rsid w:val="00450BD9"/>
    <w:rsid w:val="00462E0C"/>
    <w:rsid w:val="00462E6E"/>
    <w:rsid w:val="00463C33"/>
    <w:rsid w:val="00467696"/>
    <w:rsid w:val="00485951"/>
    <w:rsid w:val="0049033F"/>
    <w:rsid w:val="0049083E"/>
    <w:rsid w:val="004B4D25"/>
    <w:rsid w:val="004C484C"/>
    <w:rsid w:val="004C6541"/>
    <w:rsid w:val="004D7098"/>
    <w:rsid w:val="005238C7"/>
    <w:rsid w:val="0053737C"/>
    <w:rsid w:val="00542420"/>
    <w:rsid w:val="00543DFD"/>
    <w:rsid w:val="0055136E"/>
    <w:rsid w:val="005660E0"/>
    <w:rsid w:val="00577808"/>
    <w:rsid w:val="00583C5F"/>
    <w:rsid w:val="00585ECB"/>
    <w:rsid w:val="005871EC"/>
    <w:rsid w:val="005A0C9E"/>
    <w:rsid w:val="005A1B4D"/>
    <w:rsid w:val="005A59E9"/>
    <w:rsid w:val="005D3043"/>
    <w:rsid w:val="005D4D98"/>
    <w:rsid w:val="005F219A"/>
    <w:rsid w:val="00612E8D"/>
    <w:rsid w:val="00614CB1"/>
    <w:rsid w:val="0062204D"/>
    <w:rsid w:val="0062466E"/>
    <w:rsid w:val="006433DE"/>
    <w:rsid w:val="00651A98"/>
    <w:rsid w:val="00663C93"/>
    <w:rsid w:val="00664AEA"/>
    <w:rsid w:val="00677B79"/>
    <w:rsid w:val="00693F0C"/>
    <w:rsid w:val="006C20BA"/>
    <w:rsid w:val="006C3A8D"/>
    <w:rsid w:val="006C4EC8"/>
    <w:rsid w:val="006D6EF1"/>
    <w:rsid w:val="00714B4F"/>
    <w:rsid w:val="007169ED"/>
    <w:rsid w:val="00725F03"/>
    <w:rsid w:val="00730343"/>
    <w:rsid w:val="007661A2"/>
    <w:rsid w:val="00771DC6"/>
    <w:rsid w:val="0078246B"/>
    <w:rsid w:val="0078554F"/>
    <w:rsid w:val="007B03BA"/>
    <w:rsid w:val="007B0443"/>
    <w:rsid w:val="007C5C38"/>
    <w:rsid w:val="007C649C"/>
    <w:rsid w:val="007D55F3"/>
    <w:rsid w:val="007E7106"/>
    <w:rsid w:val="007F599C"/>
    <w:rsid w:val="00831F7B"/>
    <w:rsid w:val="00886480"/>
    <w:rsid w:val="00887014"/>
    <w:rsid w:val="00895AAF"/>
    <w:rsid w:val="008B4F61"/>
    <w:rsid w:val="008C7557"/>
    <w:rsid w:val="008D0DD2"/>
    <w:rsid w:val="008E16B5"/>
    <w:rsid w:val="008F7E09"/>
    <w:rsid w:val="009173DD"/>
    <w:rsid w:val="00921A0E"/>
    <w:rsid w:val="009402E9"/>
    <w:rsid w:val="00941699"/>
    <w:rsid w:val="00945726"/>
    <w:rsid w:val="00954E5A"/>
    <w:rsid w:val="00966013"/>
    <w:rsid w:val="0096704B"/>
    <w:rsid w:val="00972F14"/>
    <w:rsid w:val="009834BE"/>
    <w:rsid w:val="00984A1E"/>
    <w:rsid w:val="00984BA9"/>
    <w:rsid w:val="00986908"/>
    <w:rsid w:val="00995B74"/>
    <w:rsid w:val="00995C49"/>
    <w:rsid w:val="009B37D6"/>
    <w:rsid w:val="009C0B7A"/>
    <w:rsid w:val="009C630F"/>
    <w:rsid w:val="009D39D3"/>
    <w:rsid w:val="00A349A1"/>
    <w:rsid w:val="00A363A7"/>
    <w:rsid w:val="00A507FA"/>
    <w:rsid w:val="00A66DD6"/>
    <w:rsid w:val="00A72B82"/>
    <w:rsid w:val="00A84E12"/>
    <w:rsid w:val="00A93357"/>
    <w:rsid w:val="00A93C70"/>
    <w:rsid w:val="00AA1406"/>
    <w:rsid w:val="00AC4CE5"/>
    <w:rsid w:val="00AD5D0F"/>
    <w:rsid w:val="00AE34CF"/>
    <w:rsid w:val="00B548C1"/>
    <w:rsid w:val="00B61E36"/>
    <w:rsid w:val="00B65497"/>
    <w:rsid w:val="00B67DD4"/>
    <w:rsid w:val="00B81774"/>
    <w:rsid w:val="00B976DC"/>
    <w:rsid w:val="00B97820"/>
    <w:rsid w:val="00BA0CF2"/>
    <w:rsid w:val="00BA1580"/>
    <w:rsid w:val="00BA208B"/>
    <w:rsid w:val="00BA22E1"/>
    <w:rsid w:val="00BA6B0F"/>
    <w:rsid w:val="00BD4A2B"/>
    <w:rsid w:val="00BE24F3"/>
    <w:rsid w:val="00BF02AB"/>
    <w:rsid w:val="00BF3012"/>
    <w:rsid w:val="00BF40B7"/>
    <w:rsid w:val="00C04FC4"/>
    <w:rsid w:val="00C06159"/>
    <w:rsid w:val="00C07A16"/>
    <w:rsid w:val="00C13A5C"/>
    <w:rsid w:val="00C14F66"/>
    <w:rsid w:val="00C152E9"/>
    <w:rsid w:val="00C15509"/>
    <w:rsid w:val="00C20845"/>
    <w:rsid w:val="00C316C1"/>
    <w:rsid w:val="00C32066"/>
    <w:rsid w:val="00C33FD4"/>
    <w:rsid w:val="00C355BC"/>
    <w:rsid w:val="00C357FE"/>
    <w:rsid w:val="00C63582"/>
    <w:rsid w:val="00C67CF0"/>
    <w:rsid w:val="00C7227D"/>
    <w:rsid w:val="00C732F4"/>
    <w:rsid w:val="00C7721F"/>
    <w:rsid w:val="00C83CFA"/>
    <w:rsid w:val="00CA79F6"/>
    <w:rsid w:val="00CB5488"/>
    <w:rsid w:val="00CD2B65"/>
    <w:rsid w:val="00CE238B"/>
    <w:rsid w:val="00CE3A1C"/>
    <w:rsid w:val="00CE6894"/>
    <w:rsid w:val="00CF2AD0"/>
    <w:rsid w:val="00CF593D"/>
    <w:rsid w:val="00D04AD7"/>
    <w:rsid w:val="00D2021C"/>
    <w:rsid w:val="00D249D4"/>
    <w:rsid w:val="00D27CE6"/>
    <w:rsid w:val="00D51138"/>
    <w:rsid w:val="00D51333"/>
    <w:rsid w:val="00D70F05"/>
    <w:rsid w:val="00D7174B"/>
    <w:rsid w:val="00D83445"/>
    <w:rsid w:val="00D95727"/>
    <w:rsid w:val="00DD10CD"/>
    <w:rsid w:val="00DD2592"/>
    <w:rsid w:val="00DD71F7"/>
    <w:rsid w:val="00DF319A"/>
    <w:rsid w:val="00E0605D"/>
    <w:rsid w:val="00E0621E"/>
    <w:rsid w:val="00E14BC0"/>
    <w:rsid w:val="00E358CE"/>
    <w:rsid w:val="00E35992"/>
    <w:rsid w:val="00E54715"/>
    <w:rsid w:val="00E630B1"/>
    <w:rsid w:val="00E63E41"/>
    <w:rsid w:val="00E70B0C"/>
    <w:rsid w:val="00E75447"/>
    <w:rsid w:val="00E75ED2"/>
    <w:rsid w:val="00E762D6"/>
    <w:rsid w:val="00E906A6"/>
    <w:rsid w:val="00E91A71"/>
    <w:rsid w:val="00EA1EE7"/>
    <w:rsid w:val="00EA3D38"/>
    <w:rsid w:val="00EB01FD"/>
    <w:rsid w:val="00EB57B7"/>
    <w:rsid w:val="00EC2CD8"/>
    <w:rsid w:val="00EC7096"/>
    <w:rsid w:val="00ED2B95"/>
    <w:rsid w:val="00EE7316"/>
    <w:rsid w:val="00F04F42"/>
    <w:rsid w:val="00F06B8B"/>
    <w:rsid w:val="00F254D0"/>
    <w:rsid w:val="00F43ED9"/>
    <w:rsid w:val="00F54B6E"/>
    <w:rsid w:val="00F63362"/>
    <w:rsid w:val="00F803D1"/>
    <w:rsid w:val="00F839D5"/>
    <w:rsid w:val="00F928C4"/>
    <w:rsid w:val="00F941A6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23FAA-7B49-4C1A-927B-B5A4FF9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0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3746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4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46D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74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46D3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3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6D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Znak Znak"/>
    <w:basedOn w:val="Normalny"/>
    <w:link w:val="NagwekZnak"/>
    <w:rsid w:val="00C7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C772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1F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1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0D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2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AA97-8CE0-4B49-9272-74DB4BC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4561</Words>
  <Characters>27367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DOSTAW/USŁUG</vt:lpstr>
    </vt:vector>
  </TitlesOfParts>
  <Company/>
  <LinksUpToDate>false</LinksUpToDate>
  <CharactersWithSpaces>31865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DOSTAW/USŁUG</dc:title>
  <dc:subject/>
  <dc:creator>xp</dc:creator>
  <cp:keywords/>
  <dc:description/>
  <cp:lastModifiedBy>Inwest-1</cp:lastModifiedBy>
  <cp:revision>5</cp:revision>
  <cp:lastPrinted>2016-07-20T12:58:00Z</cp:lastPrinted>
  <dcterms:created xsi:type="dcterms:W3CDTF">2016-07-18T07:49:00Z</dcterms:created>
  <dcterms:modified xsi:type="dcterms:W3CDTF">2016-07-20T13:10:00Z</dcterms:modified>
</cp:coreProperties>
</file>